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bCs/>
          <w:kern w:val="0"/>
          <w:sz w:val="44"/>
          <w:szCs w:val="44"/>
        </w:rPr>
      </w:pPr>
      <w:r>
        <w:rPr>
          <w:rFonts w:hint="eastAsia" w:ascii="黑体" w:hAnsi="黑体" w:eastAsia="黑体"/>
          <w:sz w:val="32"/>
          <w:szCs w:val="32"/>
        </w:rPr>
        <w:t>附件：</w:t>
      </w:r>
    </w:p>
    <w:p>
      <w:pPr>
        <w:rPr>
          <w:rFonts w:ascii="宋体" w:hAnsi="宋体"/>
          <w:b/>
          <w:bCs/>
          <w:kern w:val="0"/>
          <w:sz w:val="44"/>
          <w:szCs w:val="44"/>
        </w:rPr>
      </w:pPr>
    </w:p>
    <w:p>
      <w:pPr>
        <w:rPr>
          <w:rFonts w:ascii="宋体" w:hAnsi="宋体"/>
          <w:b/>
          <w:bCs/>
          <w:kern w:val="0"/>
          <w:sz w:val="44"/>
          <w:szCs w:val="44"/>
        </w:rPr>
      </w:pPr>
    </w:p>
    <w:p>
      <w:pPr>
        <w:rPr>
          <w:rFonts w:ascii="宋体" w:hAnsi="宋体"/>
          <w:b/>
          <w:bCs/>
          <w:kern w:val="0"/>
          <w:sz w:val="44"/>
          <w:szCs w:val="44"/>
        </w:rPr>
      </w:pPr>
    </w:p>
    <w:p>
      <w:pPr>
        <w:rPr>
          <w:rFonts w:ascii="宋体" w:hAnsi="宋体"/>
          <w:b/>
          <w:bCs/>
          <w:kern w:val="0"/>
          <w:sz w:val="44"/>
          <w:szCs w:val="44"/>
        </w:rPr>
      </w:pPr>
    </w:p>
    <w:p>
      <w:pPr>
        <w:widowControl/>
        <w:spacing w:before="100" w:beforeAutospacing="1" w:after="100" w:afterAutospacing="1"/>
        <w:jc w:val="center"/>
        <w:outlineLvl w:val="1"/>
        <w:rPr>
          <w:rFonts w:ascii="方正小标宋_GBK" w:hAnsi="宋体" w:eastAsia="方正小标宋_GBK" w:cs="Times New Roman"/>
          <w:kern w:val="0"/>
          <w:sz w:val="44"/>
          <w:szCs w:val="44"/>
        </w:rPr>
      </w:pPr>
      <w:r>
        <w:rPr>
          <w:rFonts w:ascii="方正小标宋_GBK" w:hAnsi="宋体" w:eastAsia="方正小标宋_GBK" w:cs="Times New Roman"/>
          <w:kern w:val="0"/>
          <w:sz w:val="44"/>
          <w:szCs w:val="44"/>
        </w:rPr>
        <w:t>伊州区</w:t>
      </w:r>
      <w:r>
        <w:rPr>
          <w:rFonts w:hint="eastAsia" w:ascii="方正小标宋_GBK" w:hAnsi="宋体" w:eastAsia="方正小标宋_GBK" w:cs="Times New Roman"/>
          <w:kern w:val="0"/>
          <w:sz w:val="44"/>
          <w:szCs w:val="44"/>
        </w:rPr>
        <w:t>人民医院</w:t>
      </w:r>
      <w:r>
        <w:rPr>
          <w:rFonts w:ascii="方正小标宋_GBK" w:hAnsi="宋体" w:eastAsia="方正小标宋_GBK" w:cs="Times New Roman"/>
          <w:kern w:val="0"/>
          <w:sz w:val="44"/>
          <w:szCs w:val="44"/>
        </w:rPr>
        <w:t>部门2021年预算公开</w:t>
      </w:r>
    </w:p>
    <w:p>
      <w:pPr>
        <w:widowControl/>
        <w:spacing w:before="100" w:beforeAutospacing="1" w:after="100" w:afterAutospacing="1"/>
        <w:jc w:val="center"/>
        <w:outlineLvl w:val="1"/>
        <w:rPr>
          <w:rFonts w:ascii="宋体" w:hAnsi="宋体"/>
          <w:b/>
          <w:bCs/>
          <w:kern w:val="0"/>
          <w:sz w:val="44"/>
          <w:szCs w:val="44"/>
        </w:rPr>
      </w:pPr>
    </w:p>
    <w:p>
      <w:pPr>
        <w:widowControl/>
        <w:spacing w:before="100" w:beforeAutospacing="1" w:after="100" w:afterAutospacing="1"/>
        <w:jc w:val="center"/>
        <w:outlineLvl w:val="1"/>
        <w:rPr>
          <w:rFonts w:ascii="宋体" w:hAnsi="宋体"/>
          <w:b/>
          <w:bCs/>
          <w:kern w:val="0"/>
          <w:sz w:val="44"/>
          <w:szCs w:val="44"/>
        </w:rPr>
      </w:pPr>
    </w:p>
    <w:p>
      <w:pPr>
        <w:rPr>
          <w:rFonts w:ascii="宋体" w:hAnsi="宋体"/>
          <w:b/>
          <w:bCs/>
          <w:kern w:val="0"/>
          <w:sz w:val="44"/>
          <w:szCs w:val="44"/>
        </w:rPr>
      </w:pPr>
      <w:r>
        <w:rPr>
          <w:rFonts w:hint="eastAsia" w:ascii="宋体" w:hAnsi="宋体"/>
          <w:b/>
          <w:bCs/>
          <w:kern w:val="0"/>
          <w:sz w:val="44"/>
          <w:szCs w:val="44"/>
        </w:rPr>
        <w:br w:type="page"/>
      </w:r>
    </w:p>
    <w:p>
      <w:pPr>
        <w:widowControl/>
        <w:spacing w:line="440" w:lineRule="exact"/>
        <w:jc w:val="center"/>
        <w:outlineLvl w:val="1"/>
        <w:rPr>
          <w:rFonts w:ascii="黑体" w:hAnsi="黑体" w:eastAsia="黑体"/>
          <w:kern w:val="0"/>
          <w:sz w:val="36"/>
          <w:szCs w:val="36"/>
        </w:rPr>
      </w:pPr>
      <w:r>
        <w:rPr>
          <w:rFonts w:hint="eastAsia" w:ascii="黑体" w:hAnsi="黑体" w:eastAsia="黑体"/>
          <w:kern w:val="0"/>
          <w:sz w:val="36"/>
          <w:szCs w:val="36"/>
        </w:rPr>
        <w:t>目 录</w:t>
      </w:r>
    </w:p>
    <w:p>
      <w:pPr>
        <w:widowControl/>
        <w:spacing w:line="440" w:lineRule="exact"/>
        <w:jc w:val="center"/>
        <w:outlineLvl w:val="1"/>
        <w:rPr>
          <w:rFonts w:ascii="黑体" w:hAnsi="黑体" w:eastAsia="黑体"/>
          <w:kern w:val="0"/>
          <w:sz w:val="36"/>
          <w:szCs w:val="36"/>
        </w:rPr>
      </w:pPr>
    </w:p>
    <w:p>
      <w:pPr>
        <w:widowControl/>
        <w:spacing w:line="440" w:lineRule="exact"/>
        <w:ind w:firstLine="643" w:firstLineChars="200"/>
        <w:outlineLvl w:val="1"/>
        <w:rPr>
          <w:rFonts w:ascii="仿宋_GB2312" w:hAnsi="宋体"/>
          <w:b/>
          <w:bCs/>
          <w:kern w:val="0"/>
          <w:sz w:val="32"/>
          <w:szCs w:val="32"/>
        </w:rPr>
      </w:pPr>
      <w:r>
        <w:rPr>
          <w:rFonts w:ascii="仿宋_GB2312" w:hAnsi="仿宋_GB2312"/>
          <w:b/>
          <w:bCs/>
          <w:kern w:val="0"/>
          <w:sz w:val="32"/>
          <w:szCs w:val="32"/>
        </w:rPr>
        <w:t>第一部分</w:t>
      </w:r>
      <w:r>
        <w:rPr>
          <w:rFonts w:ascii="仿宋_GB2312" w:hAnsi="宋体"/>
          <w:b/>
          <w:bCs/>
          <w:kern w:val="0"/>
          <w:sz w:val="32"/>
          <w:szCs w:val="32"/>
        </w:rPr>
        <w:t xml:space="preserve">  </w:t>
      </w:r>
      <w:r>
        <w:rPr>
          <w:rFonts w:hint="eastAsia" w:ascii="仿宋_GB2312" w:hAnsi="仿宋_GB2312"/>
          <w:b/>
          <w:bCs/>
          <w:kern w:val="0"/>
          <w:sz w:val="32"/>
          <w:szCs w:val="32"/>
        </w:rPr>
        <w:t>伊州区人民医院</w:t>
      </w:r>
      <w:r>
        <w:rPr>
          <w:rFonts w:ascii="仿宋_GB2312" w:hAnsi="仿宋_GB2312"/>
          <w:b/>
          <w:bCs/>
          <w:kern w:val="0"/>
          <w:sz w:val="32"/>
          <w:szCs w:val="32"/>
        </w:rPr>
        <w:t>部门概况</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一、主要职能</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二、机构设置及人员情况</w:t>
      </w:r>
    </w:p>
    <w:p>
      <w:pPr>
        <w:widowControl/>
        <w:spacing w:line="440" w:lineRule="exact"/>
        <w:ind w:firstLine="643" w:firstLineChars="200"/>
        <w:outlineLvl w:val="1"/>
        <w:rPr>
          <w:rFonts w:ascii="仿宋_GB2312" w:hAnsi="宋体"/>
          <w:b/>
          <w:bCs/>
          <w:kern w:val="0"/>
          <w:sz w:val="32"/>
          <w:szCs w:val="32"/>
        </w:rPr>
      </w:pPr>
      <w:r>
        <w:rPr>
          <w:rFonts w:ascii="仿宋_GB2312" w:hAnsi="仿宋_GB2312"/>
          <w:b/>
          <w:bCs/>
          <w:kern w:val="0"/>
          <w:sz w:val="32"/>
          <w:szCs w:val="32"/>
        </w:rPr>
        <w:t>第二部</w:t>
      </w:r>
      <w:r>
        <w:rPr>
          <w:rFonts w:ascii="仿宋_GB2312" w:hAnsi="宋体"/>
          <w:b/>
          <w:bCs/>
          <w:kern w:val="0"/>
          <w:sz w:val="32"/>
          <w:szCs w:val="32"/>
        </w:rPr>
        <w:t>分  2021年部门预算公开表</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一、部门收支总体情况表</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二、部门收入总体情况表</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三、部门支出总体情况表</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四、财政拨款收支总体情况表</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五、一般公共预算支出情况表</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六、一般公共预算基本支出情况表</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七、一般公共预算项目支出情况表</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八、一般公共预算“三公”经费支出情况表</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九、政府性基金预算支出情况表</w:t>
      </w:r>
    </w:p>
    <w:p>
      <w:pPr>
        <w:widowControl/>
        <w:spacing w:line="440" w:lineRule="exact"/>
        <w:ind w:firstLine="643" w:firstLineChars="200"/>
        <w:outlineLvl w:val="1"/>
        <w:rPr>
          <w:rFonts w:ascii="仿宋_GB2312" w:hAnsi="宋体"/>
          <w:b/>
          <w:bCs/>
          <w:kern w:val="0"/>
          <w:sz w:val="32"/>
          <w:szCs w:val="32"/>
        </w:rPr>
      </w:pPr>
      <w:r>
        <w:rPr>
          <w:rFonts w:ascii="仿宋_GB2312" w:hAnsi="仿宋_GB2312"/>
          <w:b/>
          <w:bCs/>
          <w:kern w:val="0"/>
          <w:sz w:val="32"/>
          <w:szCs w:val="32"/>
        </w:rPr>
        <w:t>第三部分</w:t>
      </w:r>
      <w:r>
        <w:rPr>
          <w:rFonts w:ascii="仿宋_GB2312" w:hAnsi="宋体"/>
          <w:b/>
          <w:bCs/>
          <w:kern w:val="0"/>
          <w:sz w:val="32"/>
          <w:szCs w:val="32"/>
        </w:rPr>
        <w:t xml:space="preserve">  2021年部门预算情况说明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一、关于伊州区人民医院部门2021年收支预算情况的总体说明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二、关于伊州区人民医院部门2021年收入预算情况说明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三、关于伊州区人民医院部门2021年支出预算情况说明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四、关于伊州区人民医院部门2021年财政拨款收支预算情况的总体说明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五、关于伊州区人民医院部门2021年一般公共预算当年拨款情况说明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六、关于伊州区人民医院部门2021年一般公共预算基本支出情况说明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七、关于伊州区人民医院部门2021年一般公共预算项目支出情况说明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八、关于伊州区人民医院部门2021年一般公共预算“三公”经费预算情况说明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九、关于伊州区人民医院部门2021年政府性基金预算拨款情况说明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十、其他重要事项的情况说明</w:t>
      </w:r>
    </w:p>
    <w:p>
      <w:pPr>
        <w:widowControl/>
        <w:spacing w:line="440" w:lineRule="exact"/>
        <w:ind w:firstLine="643" w:firstLineChars="200"/>
        <w:outlineLvl w:val="1"/>
        <w:rPr>
          <w:rFonts w:ascii="仿宋_GB2312" w:hAnsi="宋体"/>
          <w:b/>
          <w:bCs/>
          <w:kern w:val="0"/>
          <w:sz w:val="32"/>
          <w:szCs w:val="32"/>
        </w:rPr>
      </w:pPr>
      <w:r>
        <w:rPr>
          <w:rFonts w:ascii="仿宋_GB2312" w:hAnsi="仿宋_GB2312"/>
          <w:b/>
          <w:bCs/>
          <w:kern w:val="0"/>
          <w:sz w:val="32"/>
          <w:szCs w:val="32"/>
        </w:rPr>
        <w:t>第四部分</w:t>
      </w:r>
      <w:r>
        <w:rPr>
          <w:rFonts w:ascii="仿宋_GB2312" w:hAnsi="宋体"/>
          <w:b/>
          <w:bCs/>
          <w:kern w:val="0"/>
          <w:sz w:val="32"/>
          <w:szCs w:val="32"/>
        </w:rPr>
        <w:t xml:space="preserve">  </w:t>
      </w:r>
      <w:r>
        <w:rPr>
          <w:rFonts w:ascii="仿宋_GB2312" w:hAnsi="仿宋_GB2312"/>
          <w:b/>
          <w:bCs/>
          <w:kern w:val="0"/>
          <w:sz w:val="32"/>
          <w:szCs w:val="32"/>
        </w:rPr>
        <w:t>名词解释</w:t>
      </w:r>
    </w:p>
    <w:p>
      <w:pPr>
        <w:widowControl/>
        <w:spacing w:line="440" w:lineRule="exact"/>
        <w:ind w:firstLine="643" w:firstLineChars="200"/>
        <w:jc w:val="center"/>
        <w:outlineLvl w:val="1"/>
        <w:rPr>
          <w:rFonts w:ascii="黑体" w:hAnsi="黑体" w:eastAsia="黑体"/>
          <w:kern w:val="0"/>
          <w:sz w:val="32"/>
          <w:szCs w:val="32"/>
        </w:rPr>
      </w:pPr>
      <w:r>
        <w:rPr>
          <w:rFonts w:ascii="仿宋_GB2312" w:hAnsi="宋体"/>
          <w:b/>
          <w:bCs/>
          <w:kern w:val="0"/>
          <w:sz w:val="32"/>
          <w:szCs w:val="32"/>
        </w:rPr>
        <w:br w:type="page"/>
      </w:r>
      <w:r>
        <w:rPr>
          <w:rFonts w:hint="eastAsia" w:ascii="黑体" w:hAnsi="黑体" w:eastAsia="黑体"/>
          <w:kern w:val="0"/>
          <w:sz w:val="32"/>
          <w:szCs w:val="32"/>
        </w:rPr>
        <w:t>第一部分   伊州区人民医院部门概况</w:t>
      </w:r>
    </w:p>
    <w:p>
      <w:pPr>
        <w:widowControl/>
        <w:jc w:val="center"/>
        <w:outlineLvl w:val="1"/>
        <w:rPr>
          <w:rFonts w:ascii="宋体" w:hAnsi="宋体"/>
          <w:b/>
          <w:bCs/>
          <w:kern w:val="0"/>
          <w:sz w:val="32"/>
          <w:szCs w:val="32"/>
        </w:rPr>
      </w:pPr>
    </w:p>
    <w:p>
      <w:pPr>
        <w:widowControl/>
        <w:spacing w:line="560" w:lineRule="exact"/>
        <w:ind w:firstLine="640" w:firstLineChars="200"/>
        <w:jc w:val="left"/>
        <w:rPr>
          <w:rFonts w:ascii="黑体" w:hAnsi="黑体" w:eastAsia="黑体"/>
          <w:kern w:val="0"/>
          <w:sz w:val="32"/>
          <w:szCs w:val="32"/>
        </w:rPr>
      </w:pPr>
      <w:r>
        <w:rPr>
          <w:rFonts w:hint="eastAsia" w:ascii="黑体" w:hAnsi="黑体" w:eastAsia="黑体"/>
          <w:kern w:val="0"/>
          <w:sz w:val="32"/>
          <w:szCs w:val="32"/>
        </w:rPr>
        <w:t>一、主要职能</w:t>
      </w:r>
    </w:p>
    <w:p>
      <w:pPr>
        <w:widowControl/>
        <w:spacing w:line="560" w:lineRule="exact"/>
        <w:ind w:firstLine="640" w:firstLineChars="200"/>
        <w:jc w:val="left"/>
        <w:rPr>
          <w:rFonts w:ascii="仿宋_GB2312" w:hAnsi="黑体" w:eastAsia="仿宋_GB2312"/>
          <w:bCs/>
          <w:kern w:val="0"/>
          <w:sz w:val="32"/>
          <w:szCs w:val="32"/>
        </w:rPr>
      </w:pPr>
      <w:r>
        <w:rPr>
          <w:rFonts w:hint="eastAsia" w:ascii="仿宋_GB2312" w:hAnsi="黑体" w:eastAsia="仿宋_GB2312"/>
          <w:bCs/>
          <w:kern w:val="0"/>
          <w:sz w:val="32"/>
          <w:szCs w:val="32"/>
        </w:rPr>
        <w:t>为人民身体健康提供医疗与护理保健服务，进行正常的医疗和护理，做医学教学医学研究，做卫生医疗人员培训，对卫生技术人员做继续教育，做保健与健康教育。</w:t>
      </w:r>
    </w:p>
    <w:p>
      <w:pPr>
        <w:widowControl/>
        <w:spacing w:line="560" w:lineRule="exact"/>
        <w:ind w:firstLine="640" w:firstLineChars="200"/>
        <w:jc w:val="left"/>
        <w:rPr>
          <w:rFonts w:ascii="黑体" w:hAnsi="黑体" w:eastAsia="黑体"/>
          <w:kern w:val="0"/>
          <w:sz w:val="32"/>
          <w:szCs w:val="32"/>
        </w:rPr>
      </w:pPr>
      <w:r>
        <w:rPr>
          <w:rFonts w:hint="eastAsia" w:ascii="黑体" w:hAnsi="黑体" w:eastAsia="黑体"/>
          <w:kern w:val="0"/>
          <w:sz w:val="32"/>
          <w:szCs w:val="32"/>
        </w:rPr>
        <w:t>二、机构设置及人员情况</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伊州区人民医院部门无下属预算单位，下设31个科室，分别是：临床服务类：内科、外科、妇产科、儿科、中医综合科、急诊、重症科、门诊内科、门诊妇产科、门诊儿科、口腔科、保健科、门诊中医科、眼科、耳鼻喉科、十五个科室。医疗技术类：心功能科、心电图室、检验科、放射科、药剂科、病理科、胃镜室七个科室。医疗辅助类：供应室。行政后勤类：院办、财务科、护理部、医保办、医务科、院感办、总务科、网管室、八个科室。</w:t>
      </w:r>
    </w:p>
    <w:p>
      <w:pPr>
        <w:widowControl/>
        <w:spacing w:line="560" w:lineRule="exact"/>
        <w:ind w:firstLine="640"/>
        <w:jc w:val="left"/>
        <w:rPr>
          <w:rFonts w:ascii="仿宋_GB2312" w:hAnsi="黑体"/>
          <w:kern w:val="0"/>
          <w:sz w:val="32"/>
          <w:szCs w:val="32"/>
        </w:rPr>
      </w:pPr>
      <w:r>
        <w:rPr>
          <w:rFonts w:hint="eastAsia" w:ascii="仿宋_GB2312" w:hAnsi="黑体" w:eastAsia="仿宋_GB2312"/>
          <w:bCs/>
          <w:kern w:val="0"/>
          <w:sz w:val="32"/>
          <w:szCs w:val="32"/>
        </w:rPr>
        <w:t>哈密市伊州区人民医院编制数188人，实有人数</w:t>
      </w:r>
      <w:r>
        <w:rPr>
          <w:rFonts w:ascii="仿宋_GB2312" w:hAnsi="黑体" w:eastAsia="仿宋_GB2312"/>
          <w:bCs/>
          <w:kern w:val="0"/>
          <w:sz w:val="32"/>
          <w:szCs w:val="32"/>
        </w:rPr>
        <w:t>290</w:t>
      </w:r>
      <w:r>
        <w:rPr>
          <w:rFonts w:hint="eastAsia" w:ascii="仿宋_GB2312" w:hAnsi="黑体" w:eastAsia="仿宋_GB2312"/>
          <w:bCs/>
          <w:kern w:val="0"/>
          <w:sz w:val="32"/>
          <w:szCs w:val="32"/>
        </w:rPr>
        <w:t>人，其中：在职146人，减少2人；退休143人，增加1人；离休1人，减少0人。</w:t>
      </w:r>
    </w:p>
    <w:p>
      <w:pPr>
        <w:widowControl/>
        <w:spacing w:line="560" w:lineRule="exact"/>
        <w:jc w:val="center"/>
        <w:rPr>
          <w:rFonts w:ascii="黑体" w:hAnsi="黑体" w:eastAsia="黑体"/>
          <w:kern w:val="0"/>
          <w:sz w:val="32"/>
          <w:szCs w:val="32"/>
        </w:rPr>
      </w:pPr>
      <w:r>
        <w:rPr>
          <w:rFonts w:ascii="仿宋_GB2312" w:hAnsi="宋体"/>
          <w:kern w:val="0"/>
          <w:sz w:val="32"/>
          <w:szCs w:val="32"/>
        </w:rPr>
        <w:br w:type="page"/>
      </w:r>
      <w:r>
        <w:rPr>
          <w:rFonts w:hint="eastAsia" w:ascii="黑体" w:hAnsi="黑体" w:eastAsia="黑体"/>
          <w:kern w:val="0"/>
          <w:sz w:val="32"/>
          <w:szCs w:val="32"/>
        </w:rPr>
        <w:t>第二部分  2021年部门预算公开表</w:t>
      </w:r>
    </w:p>
    <w:p>
      <w:pPr>
        <w:widowControl/>
        <w:spacing w:line="280" w:lineRule="exact"/>
        <w:outlineLvl w:val="1"/>
        <w:rPr>
          <w:rFonts w:ascii="仿宋_GB2312" w:hAnsi="宋体"/>
          <w:b/>
          <w:bCs/>
          <w:kern w:val="0"/>
          <w:sz w:val="32"/>
          <w:szCs w:val="32"/>
        </w:rPr>
      </w:pPr>
      <w:r>
        <w:rPr>
          <w:rFonts w:ascii="仿宋_GB2312" w:hAnsi="仿宋_GB2312"/>
          <w:b/>
          <w:bCs/>
          <w:kern w:val="0"/>
          <w:sz w:val="32"/>
          <w:szCs w:val="32"/>
        </w:rPr>
        <w:t>表一：</w:t>
      </w:r>
    </w:p>
    <w:p>
      <w:pPr>
        <w:widowControl/>
        <w:spacing w:line="280" w:lineRule="exact"/>
        <w:jc w:val="center"/>
        <w:outlineLvl w:val="1"/>
        <w:rPr>
          <w:rFonts w:ascii="仿宋_GB2312" w:hAnsi="宋体"/>
          <w:b/>
          <w:bCs/>
          <w:kern w:val="0"/>
          <w:sz w:val="32"/>
          <w:szCs w:val="32"/>
        </w:rPr>
      </w:pPr>
      <w:r>
        <w:rPr>
          <w:rFonts w:ascii="仿宋_GB2312" w:hAnsi="仿宋_GB2312"/>
          <w:b/>
          <w:bCs/>
          <w:kern w:val="0"/>
          <w:sz w:val="32"/>
          <w:szCs w:val="32"/>
        </w:rPr>
        <w:t>部门收支总体情况表</w:t>
      </w:r>
    </w:p>
    <w:p>
      <w:pPr>
        <w:widowControl/>
        <w:spacing w:line="280" w:lineRule="exact"/>
        <w:outlineLvl w:val="1"/>
        <w:rPr>
          <w:rFonts w:ascii="仿宋_GB2312" w:hAnsi="宋体" w:eastAsia="仿宋_GB2312"/>
          <w:kern w:val="0"/>
          <w:sz w:val="18"/>
          <w:szCs w:val="18"/>
        </w:rPr>
      </w:pPr>
      <w:r>
        <w:rPr>
          <w:rFonts w:hint="eastAsia" w:ascii="仿宋_GB2312" w:hAnsi="宋体" w:eastAsia="仿宋_GB2312"/>
          <w:kern w:val="0"/>
          <w:sz w:val="18"/>
          <w:szCs w:val="18"/>
        </w:rPr>
        <w:t xml:space="preserve">编制部门：伊州区人民医院 </w:t>
      </w:r>
      <w:r>
        <w:rPr>
          <w:rFonts w:ascii="仿宋_GB2312" w:hAnsi="宋体"/>
          <w:kern w:val="0"/>
          <w:sz w:val="24"/>
          <w:szCs w:val="24"/>
        </w:rPr>
        <w:t xml:space="preserve">                         </w:t>
      </w:r>
      <w:r>
        <w:rPr>
          <w:rFonts w:hint="eastAsia" w:ascii="仿宋_GB2312" w:hAnsi="宋体"/>
          <w:kern w:val="0"/>
          <w:sz w:val="24"/>
          <w:szCs w:val="24"/>
        </w:rPr>
        <w:t xml:space="preserve">      </w:t>
      </w:r>
      <w:r>
        <w:rPr>
          <w:rFonts w:ascii="仿宋_GB2312" w:hAnsi="宋体"/>
          <w:kern w:val="0"/>
          <w:sz w:val="24"/>
          <w:szCs w:val="24"/>
        </w:rPr>
        <w:t xml:space="preserve">   </w:t>
      </w:r>
      <w:r>
        <w:rPr>
          <w:rFonts w:hint="eastAsia" w:ascii="仿宋_GB2312" w:hAnsi="宋体"/>
          <w:kern w:val="0"/>
          <w:sz w:val="24"/>
          <w:szCs w:val="24"/>
        </w:rPr>
        <w:t xml:space="preserve"> </w:t>
      </w:r>
      <w:r>
        <w:rPr>
          <w:rFonts w:ascii="仿宋_GB2312" w:hAnsi="宋体"/>
          <w:kern w:val="0"/>
          <w:sz w:val="24"/>
          <w:szCs w:val="24"/>
        </w:rPr>
        <w:t xml:space="preserve">     </w:t>
      </w:r>
      <w:r>
        <w:rPr>
          <w:rFonts w:hint="eastAsia" w:ascii="仿宋_GB2312" w:hAnsi="宋体" w:eastAsia="仿宋_GB2312"/>
          <w:kern w:val="0"/>
          <w:sz w:val="18"/>
          <w:szCs w:val="18"/>
        </w:rPr>
        <w:t xml:space="preserve">   单位：万元</w:t>
      </w:r>
    </w:p>
    <w:tbl>
      <w:tblPr>
        <w:tblStyle w:val="4"/>
        <w:tblW w:w="8662" w:type="dxa"/>
        <w:tblInd w:w="93" w:type="dxa"/>
        <w:tblLayout w:type="fixed"/>
        <w:tblCellMar>
          <w:top w:w="0" w:type="dxa"/>
          <w:left w:w="108" w:type="dxa"/>
          <w:bottom w:w="0" w:type="dxa"/>
          <w:right w:w="108" w:type="dxa"/>
        </w:tblCellMar>
      </w:tblPr>
      <w:tblGrid>
        <w:gridCol w:w="2280"/>
        <w:gridCol w:w="1988"/>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ign w:val="bottom"/>
          </w:tcPr>
          <w:p>
            <w:pPr>
              <w:widowControl/>
              <w:spacing w:line="280" w:lineRule="exact"/>
              <w:jc w:val="center"/>
              <w:rPr>
                <w:rFonts w:ascii="仿宋_GB2312" w:hAnsi="宋体"/>
                <w:b/>
                <w:bCs/>
                <w:kern w:val="0"/>
                <w:sz w:val="24"/>
                <w:szCs w:val="24"/>
              </w:rPr>
            </w:pPr>
            <w:r>
              <w:rPr>
                <w:rFonts w:ascii="仿宋_GB2312" w:hAnsi="宋体"/>
                <w:b/>
                <w:bCs/>
                <w:kern w:val="0"/>
                <w:sz w:val="24"/>
                <w:szCs w:val="24"/>
              </w:rPr>
              <w:t>收     入</w:t>
            </w:r>
          </w:p>
        </w:tc>
        <w:tc>
          <w:tcPr>
            <w:tcW w:w="4394" w:type="dxa"/>
            <w:gridSpan w:val="2"/>
            <w:tcBorders>
              <w:top w:val="single" w:color="auto" w:sz="4" w:space="0"/>
              <w:left w:val="nil"/>
              <w:bottom w:val="single" w:color="auto" w:sz="4" w:space="0"/>
              <w:right w:val="single" w:color="auto" w:sz="4" w:space="0"/>
            </w:tcBorders>
            <w:noWrap/>
            <w:vAlign w:val="bottom"/>
          </w:tcPr>
          <w:p>
            <w:pPr>
              <w:widowControl/>
              <w:spacing w:line="280" w:lineRule="exact"/>
              <w:jc w:val="center"/>
              <w:rPr>
                <w:rFonts w:ascii="仿宋_GB2312" w:hAnsi="宋体"/>
                <w:b/>
                <w:bCs/>
                <w:kern w:val="0"/>
                <w:sz w:val="24"/>
                <w:szCs w:val="24"/>
              </w:rPr>
            </w:pPr>
            <w:r>
              <w:rPr>
                <w:rFonts w:ascii="仿宋_GB2312" w:hAnsi="宋体"/>
                <w:b/>
                <w:bCs/>
                <w:kern w:val="0"/>
                <w:sz w:val="24"/>
                <w:szCs w:val="24"/>
              </w:rPr>
              <w:t>支     出</w:t>
            </w: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b/>
                <w:bCs/>
                <w:kern w:val="0"/>
                <w:sz w:val="20"/>
                <w:szCs w:val="20"/>
              </w:rPr>
            </w:pPr>
            <w:r>
              <w:rPr>
                <w:rFonts w:ascii="仿宋_GB2312" w:hAnsi="宋体"/>
                <w:b/>
                <w:bCs/>
                <w:kern w:val="0"/>
                <w:sz w:val="20"/>
                <w:szCs w:val="20"/>
              </w:rPr>
              <w:t>项     目</w:t>
            </w:r>
          </w:p>
        </w:tc>
        <w:tc>
          <w:tcPr>
            <w:tcW w:w="198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b/>
                <w:bCs/>
                <w:kern w:val="0"/>
                <w:sz w:val="20"/>
                <w:szCs w:val="20"/>
              </w:rPr>
            </w:pPr>
            <w:r>
              <w:rPr>
                <w:rFonts w:ascii="仿宋_GB2312" w:hAnsi="宋体"/>
                <w:b/>
                <w:bCs/>
                <w:kern w:val="0"/>
                <w:sz w:val="20"/>
                <w:szCs w:val="20"/>
              </w:rPr>
              <w:t>预算数</w:t>
            </w:r>
          </w:p>
        </w:tc>
        <w:tc>
          <w:tcPr>
            <w:tcW w:w="269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b/>
                <w:bCs/>
                <w:kern w:val="0"/>
                <w:sz w:val="20"/>
                <w:szCs w:val="20"/>
              </w:rPr>
            </w:pPr>
            <w:r>
              <w:rPr>
                <w:rFonts w:ascii="仿宋_GB2312" w:hAnsi="宋体"/>
                <w:b/>
                <w:bCs/>
                <w:kern w:val="0"/>
                <w:sz w:val="20"/>
                <w:szCs w:val="20"/>
              </w:rPr>
              <w:t>功能分类</w:t>
            </w:r>
          </w:p>
        </w:tc>
        <w:tc>
          <w:tcPr>
            <w:tcW w:w="1701"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b/>
                <w:bCs/>
                <w:kern w:val="0"/>
                <w:sz w:val="20"/>
                <w:szCs w:val="20"/>
              </w:rPr>
            </w:pPr>
            <w:r>
              <w:rPr>
                <w:rFonts w:ascii="仿宋_GB2312" w:hAnsi="宋体"/>
                <w:b/>
                <w:bCs/>
                <w:kern w:val="0"/>
                <w:sz w:val="20"/>
                <w:szCs w:val="20"/>
              </w:rPr>
              <w:t>预算数</w:t>
            </w: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财政拨款（补助）</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3151.33</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一般公共预算</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3140.63</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政府性基金预算</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国有资本经营预算</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教育收费（财政专户）</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事业收入</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事业单位经营收入</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单位其他资金收入</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pPr>
            <w:r>
              <w:rPr>
                <w:rFonts w:hint="eastAsia" w:ascii="宋体" w:hAnsi="宋体"/>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2762.11</w:t>
            </w: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r>
              <w:rPr>
                <w:rFonts w:ascii="仿宋_GB2312" w:hAnsi="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r>
              <w:rPr>
                <w:rFonts w:ascii="仿宋_GB2312" w:hAnsi="宋体"/>
                <w:kern w:val="0"/>
                <w:sz w:val="18"/>
                <w:szCs w:val="18"/>
              </w:rPr>
              <w:t xml:space="preserve"> </w:t>
            </w:r>
            <w:r>
              <w:rPr>
                <w:rFonts w:hint="eastAsia" w:ascii="仿宋_GB2312" w:hAnsi="宋体"/>
                <w:kern w:val="0"/>
                <w:sz w:val="18"/>
                <w:szCs w:val="18"/>
              </w:rPr>
              <w:t xml:space="preserve"> </w:t>
            </w:r>
            <w:r>
              <w:rPr>
                <w:rFonts w:ascii="仿宋_GB2312" w:hAnsi="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ascii="仿宋_GB2312" w:hAnsi="宋体"/>
                <w:kern w:val="0"/>
                <w:sz w:val="18"/>
                <w:szCs w:val="18"/>
              </w:rPr>
              <w:t xml:space="preserve">  </w:t>
            </w: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r>
              <w:rPr>
                <w:rFonts w:ascii="仿宋_GB2312" w:hAnsi="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r>
              <w:rPr>
                <w:rFonts w:ascii="仿宋_GB2312" w:hAnsi="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ascii="仿宋_GB2312" w:hAnsi="宋体"/>
                <w:kern w:val="0"/>
                <w:sz w:val="18"/>
                <w:szCs w:val="18"/>
              </w:rPr>
              <w:t xml:space="preserve">  </w:t>
            </w: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r>
              <w:rPr>
                <w:rFonts w:ascii="仿宋_GB2312" w:hAnsi="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r>
              <w:rPr>
                <w:rFonts w:ascii="仿宋_GB2312" w:hAnsi="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ascii="仿宋_GB2312" w:hAnsi="宋体"/>
                <w:kern w:val="0"/>
                <w:sz w:val="18"/>
                <w:szCs w:val="18"/>
              </w:rPr>
              <w:t xml:space="preserve">  </w:t>
            </w: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r>
              <w:rPr>
                <w:rFonts w:ascii="仿宋_GB2312" w:hAnsi="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r>
              <w:rPr>
                <w:rFonts w:ascii="仿宋_GB2312" w:hAnsi="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ascii="仿宋_GB2312" w:hAnsi="宋体"/>
                <w:kern w:val="0"/>
                <w:sz w:val="18"/>
                <w:szCs w:val="18"/>
              </w:rPr>
              <w:t xml:space="preserve">  </w:t>
            </w: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12" w:hRule="atLeast"/>
        </w:trPr>
        <w:tc>
          <w:tcPr>
            <w:tcW w:w="2280" w:type="dxa"/>
            <w:tcBorders>
              <w:top w:val="nil"/>
              <w:left w:val="single" w:color="auto" w:sz="4" w:space="0"/>
              <w:bottom w:val="single" w:color="auto" w:sz="4" w:space="0"/>
              <w:right w:val="nil"/>
            </w:tcBorders>
            <w:noWrap/>
            <w:vAlign w:val="center"/>
          </w:tcPr>
          <w:p>
            <w:pPr>
              <w:widowControl/>
              <w:spacing w:line="280" w:lineRule="exact"/>
              <w:jc w:val="left"/>
              <w:rPr>
                <w:rFonts w:ascii="仿宋_GB2312" w:hAnsi="宋体"/>
                <w:kern w:val="0"/>
                <w:sz w:val="18"/>
                <w:szCs w:val="18"/>
              </w:rPr>
            </w:pPr>
            <w:r>
              <w:rPr>
                <w:rFonts w:ascii="仿宋_GB2312" w:hAnsi="宋体"/>
                <w:kern w:val="0"/>
                <w:sz w:val="18"/>
                <w:szCs w:val="18"/>
              </w:rPr>
              <w:t xml:space="preserve">  </w:t>
            </w:r>
          </w:p>
        </w:tc>
        <w:tc>
          <w:tcPr>
            <w:tcW w:w="1988"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kern w:val="0"/>
                <w:sz w:val="18"/>
                <w:szCs w:val="18"/>
              </w:rPr>
            </w:pPr>
            <w:r>
              <w:rPr>
                <w:rFonts w:ascii="仿宋_GB2312" w:hAnsi="宋体"/>
                <w:kern w:val="0"/>
                <w:sz w:val="18"/>
                <w:szCs w:val="18"/>
              </w:rPr>
              <w:t xml:space="preserve">  </w:t>
            </w:r>
          </w:p>
        </w:tc>
        <w:tc>
          <w:tcPr>
            <w:tcW w:w="2693"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234 抗疫特别国债还本支出</w:t>
            </w:r>
          </w:p>
        </w:tc>
        <w:tc>
          <w:tcPr>
            <w:tcW w:w="1701"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365" w:hRule="atLeast"/>
        </w:trPr>
        <w:tc>
          <w:tcPr>
            <w:tcW w:w="2280"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kern w:val="0"/>
                <w:sz w:val="18"/>
                <w:szCs w:val="18"/>
              </w:rPr>
            </w:pPr>
            <w:r>
              <w:rPr>
                <w:rFonts w:ascii="仿宋_GB2312" w:hAnsi="宋体"/>
                <w:kern w:val="0"/>
                <w:sz w:val="20"/>
                <w:szCs w:val="20"/>
              </w:rPr>
              <w:t>收  入  总  计</w:t>
            </w:r>
          </w:p>
        </w:tc>
        <w:tc>
          <w:tcPr>
            <w:tcW w:w="1988"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3151.33</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kern w:val="0"/>
                <w:sz w:val="20"/>
                <w:szCs w:val="20"/>
              </w:rPr>
            </w:pPr>
            <w:r>
              <w:rPr>
                <w:rFonts w:ascii="仿宋_GB2312" w:hAnsi="宋体"/>
                <w:kern w:val="0"/>
                <w:sz w:val="20"/>
                <w:szCs w:val="20"/>
              </w:rPr>
              <w:t>支  出  总  计</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3151.33</w:t>
            </w:r>
          </w:p>
        </w:tc>
      </w:tr>
    </w:tbl>
    <w:p>
      <w:pPr>
        <w:widowControl/>
        <w:spacing w:line="280" w:lineRule="exact"/>
        <w:outlineLvl w:val="1"/>
        <w:rPr>
          <w:rFonts w:ascii="仿宋_GB2312" w:hAnsi="宋体"/>
          <w:b/>
          <w:bCs/>
          <w:kern w:val="0"/>
          <w:sz w:val="28"/>
          <w:szCs w:val="28"/>
        </w:rPr>
      </w:pPr>
    </w:p>
    <w:p>
      <w:pPr>
        <w:widowControl/>
        <w:spacing w:line="280" w:lineRule="exact"/>
        <w:outlineLvl w:val="1"/>
        <w:rPr>
          <w:rFonts w:ascii="仿宋_GB2312" w:hAnsi="宋体"/>
          <w:b/>
          <w:bCs/>
          <w:kern w:val="0"/>
          <w:sz w:val="32"/>
          <w:szCs w:val="32"/>
        </w:rPr>
      </w:pPr>
      <w:r>
        <w:rPr>
          <w:rFonts w:ascii="仿宋_GB2312" w:hAnsi="宋体"/>
          <w:b/>
          <w:bCs/>
          <w:kern w:val="0"/>
          <w:sz w:val="28"/>
          <w:szCs w:val="28"/>
        </w:rPr>
        <w:br w:type="page"/>
      </w:r>
      <w:r>
        <w:rPr>
          <w:rFonts w:ascii="仿宋_GB2312" w:hAnsi="仿宋_GB2312"/>
          <w:b/>
          <w:bCs/>
          <w:kern w:val="0"/>
          <w:sz w:val="32"/>
          <w:szCs w:val="32"/>
        </w:rPr>
        <w:t>表二：</w:t>
      </w:r>
    </w:p>
    <w:p>
      <w:pPr>
        <w:widowControl/>
        <w:jc w:val="center"/>
        <w:outlineLvl w:val="1"/>
        <w:rPr>
          <w:rFonts w:ascii="仿宋_GB2312" w:hAnsi="宋体"/>
          <w:b/>
          <w:bCs/>
          <w:kern w:val="0"/>
          <w:sz w:val="32"/>
          <w:szCs w:val="32"/>
        </w:rPr>
      </w:pPr>
      <w:r>
        <w:rPr>
          <w:rFonts w:ascii="仿宋_GB2312" w:hAnsi="仿宋_GB2312"/>
          <w:b/>
          <w:bCs/>
          <w:kern w:val="0"/>
          <w:sz w:val="32"/>
          <w:szCs w:val="32"/>
        </w:rPr>
        <w:t>部门收入总体情况表</w:t>
      </w:r>
    </w:p>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编制部门：伊州区人民医院                                                              单位：万元</w:t>
      </w:r>
    </w:p>
    <w:tbl>
      <w:tblPr>
        <w:tblStyle w:val="4"/>
        <w:tblW w:w="10425" w:type="dxa"/>
        <w:tblInd w:w="-450" w:type="dxa"/>
        <w:tblLayout w:type="fixed"/>
        <w:tblCellMar>
          <w:top w:w="0" w:type="dxa"/>
          <w:left w:w="108" w:type="dxa"/>
          <w:bottom w:w="0" w:type="dxa"/>
          <w:right w:w="108" w:type="dxa"/>
        </w:tblCellMar>
      </w:tblPr>
      <w:tblGrid>
        <w:gridCol w:w="561"/>
        <w:gridCol w:w="450"/>
        <w:gridCol w:w="420"/>
        <w:gridCol w:w="2104"/>
        <w:gridCol w:w="1370"/>
        <w:gridCol w:w="1181"/>
        <w:gridCol w:w="703"/>
        <w:gridCol w:w="900"/>
        <w:gridCol w:w="660"/>
        <w:gridCol w:w="708"/>
        <w:gridCol w:w="684"/>
        <w:gridCol w:w="684"/>
      </w:tblGrid>
      <w:tr>
        <w:tblPrEx>
          <w:tblLayout w:type="fixed"/>
          <w:tblCellMar>
            <w:top w:w="0" w:type="dxa"/>
            <w:left w:w="108" w:type="dxa"/>
            <w:bottom w:w="0" w:type="dxa"/>
            <w:right w:w="108" w:type="dxa"/>
          </w:tblCellMar>
        </w:tblPrEx>
        <w:trPr>
          <w:trHeight w:val="553" w:hRule="atLeast"/>
        </w:trPr>
        <w:tc>
          <w:tcPr>
            <w:tcW w:w="143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b/>
                <w:bCs/>
                <w:color w:val="000000"/>
                <w:sz w:val="20"/>
                <w:szCs w:val="20"/>
              </w:rPr>
            </w:pPr>
            <w:r>
              <w:rPr>
                <w:rFonts w:ascii="仿宋_GB2312" w:hAnsi="仿宋_GB2312"/>
                <w:b/>
                <w:bCs/>
                <w:color w:val="000000"/>
                <w:sz w:val="20"/>
                <w:szCs w:val="20"/>
              </w:rPr>
              <w:t>功能分类科目编码</w:t>
            </w:r>
          </w:p>
        </w:tc>
        <w:tc>
          <w:tcPr>
            <w:tcW w:w="2104" w:type="dxa"/>
            <w:vMerge w:val="restart"/>
            <w:tcBorders>
              <w:top w:val="single" w:color="auto" w:sz="4" w:space="0"/>
              <w:left w:val="nil"/>
              <w:bottom w:val="single" w:color="000000" w:sz="4" w:space="0"/>
              <w:right w:val="single" w:color="auto" w:sz="4" w:space="0"/>
            </w:tcBorders>
            <w:vAlign w:val="center"/>
          </w:tcPr>
          <w:p>
            <w:pPr>
              <w:jc w:val="center"/>
              <w:rPr>
                <w:rFonts w:ascii="仿宋_GB2312" w:hAnsi="宋体"/>
                <w:b/>
                <w:bCs/>
                <w:color w:val="000000"/>
                <w:sz w:val="20"/>
                <w:szCs w:val="20"/>
              </w:rPr>
            </w:pPr>
            <w:r>
              <w:rPr>
                <w:rFonts w:ascii="仿宋_GB2312" w:hAnsi="仿宋_GB2312"/>
                <w:b/>
                <w:bCs/>
                <w:color w:val="000000"/>
                <w:sz w:val="20"/>
                <w:szCs w:val="20"/>
              </w:rPr>
              <w:t>功能分类科目名称</w:t>
            </w:r>
          </w:p>
        </w:tc>
        <w:tc>
          <w:tcPr>
            <w:tcW w:w="1370" w:type="dxa"/>
            <w:vMerge w:val="restart"/>
            <w:tcBorders>
              <w:top w:val="single" w:color="auto" w:sz="4" w:space="0"/>
              <w:left w:val="nil"/>
              <w:bottom w:val="single" w:color="000000" w:sz="4" w:space="0"/>
              <w:right w:val="single" w:color="auto" w:sz="4" w:space="0"/>
            </w:tcBorders>
            <w:vAlign w:val="center"/>
          </w:tcPr>
          <w:p>
            <w:pPr>
              <w:jc w:val="center"/>
              <w:rPr>
                <w:rFonts w:ascii="仿宋_GB2312" w:hAnsi="宋体"/>
                <w:b/>
                <w:bCs/>
                <w:color w:val="000000"/>
                <w:sz w:val="20"/>
                <w:szCs w:val="20"/>
              </w:rPr>
            </w:pPr>
            <w:r>
              <w:rPr>
                <w:rFonts w:ascii="仿宋_GB2312" w:hAnsi="仿宋_GB2312"/>
                <w:b/>
                <w:bCs/>
                <w:color w:val="000000"/>
                <w:sz w:val="20"/>
                <w:szCs w:val="20"/>
              </w:rPr>
              <w:t>总  计</w:t>
            </w:r>
          </w:p>
        </w:tc>
        <w:tc>
          <w:tcPr>
            <w:tcW w:w="1181" w:type="dxa"/>
            <w:vMerge w:val="restart"/>
            <w:tcBorders>
              <w:top w:val="single" w:color="auto" w:sz="4" w:space="0"/>
              <w:left w:val="nil"/>
              <w:bottom w:val="single" w:color="000000" w:sz="4" w:space="0"/>
              <w:right w:val="single" w:color="auto" w:sz="4" w:space="0"/>
            </w:tcBorders>
            <w:vAlign w:val="center"/>
          </w:tcPr>
          <w:p>
            <w:pPr>
              <w:jc w:val="center"/>
              <w:rPr>
                <w:rFonts w:ascii="仿宋_GB2312" w:hAnsi="宋体" w:eastAsia="仿宋_GB2312"/>
                <w:b/>
                <w:color w:val="000000"/>
                <w:sz w:val="20"/>
                <w:szCs w:val="20"/>
              </w:rPr>
            </w:pPr>
            <w:r>
              <w:rPr>
                <w:rFonts w:hint="eastAsia" w:ascii="仿宋_GB2312" w:eastAsia="仿宋_GB2312"/>
                <w:b/>
                <w:color w:val="000000"/>
                <w:sz w:val="20"/>
                <w:szCs w:val="20"/>
              </w:rPr>
              <w:t>一般公共预算拨款</w:t>
            </w:r>
          </w:p>
        </w:tc>
        <w:tc>
          <w:tcPr>
            <w:tcW w:w="703" w:type="dxa"/>
            <w:vMerge w:val="restart"/>
            <w:tcBorders>
              <w:top w:val="single" w:color="auto" w:sz="4" w:space="0"/>
              <w:left w:val="nil"/>
              <w:bottom w:val="single" w:color="000000" w:sz="4" w:space="0"/>
              <w:right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政府性基金预算拨款</w:t>
            </w:r>
          </w:p>
        </w:tc>
        <w:tc>
          <w:tcPr>
            <w:tcW w:w="900" w:type="dxa"/>
            <w:vMerge w:val="restart"/>
            <w:tcBorders>
              <w:top w:val="single" w:color="auto" w:sz="4" w:space="0"/>
              <w:left w:val="nil"/>
              <w:bottom w:val="single" w:color="000000" w:sz="4" w:space="0"/>
              <w:right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国有资本经营预算</w:t>
            </w:r>
          </w:p>
        </w:tc>
        <w:tc>
          <w:tcPr>
            <w:tcW w:w="660" w:type="dxa"/>
            <w:vMerge w:val="restart"/>
            <w:tcBorders>
              <w:top w:val="single" w:color="auto" w:sz="4" w:space="0"/>
              <w:left w:val="nil"/>
              <w:bottom w:val="single" w:color="000000" w:sz="4" w:space="0"/>
              <w:right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财政专户（教育收费）</w:t>
            </w:r>
          </w:p>
        </w:tc>
        <w:tc>
          <w:tcPr>
            <w:tcW w:w="708" w:type="dxa"/>
            <w:vMerge w:val="restart"/>
            <w:tcBorders>
              <w:top w:val="single" w:color="auto" w:sz="4" w:space="0"/>
              <w:left w:val="nil"/>
              <w:bottom w:val="single" w:color="000000" w:sz="4" w:space="0"/>
              <w:right w:val="single" w:color="auto" w:sz="4" w:space="0"/>
            </w:tcBorders>
            <w:vAlign w:val="center"/>
          </w:tcPr>
          <w:p>
            <w:pPr>
              <w:jc w:val="center"/>
              <w:rPr>
                <w:rFonts w:ascii="仿宋_GB2312" w:hAnsi="宋体" w:eastAsia="仿宋_GB2312"/>
                <w:b/>
                <w:color w:val="000000"/>
                <w:sz w:val="20"/>
                <w:szCs w:val="20"/>
              </w:rPr>
            </w:pPr>
            <w:r>
              <w:rPr>
                <w:rFonts w:hint="eastAsia" w:ascii="仿宋_GB2312" w:eastAsia="仿宋_GB2312"/>
                <w:b/>
                <w:color w:val="000000"/>
                <w:sz w:val="20"/>
                <w:szCs w:val="20"/>
              </w:rPr>
              <w:t>事业收入</w:t>
            </w:r>
          </w:p>
        </w:tc>
        <w:tc>
          <w:tcPr>
            <w:tcW w:w="684" w:type="dxa"/>
            <w:vMerge w:val="restart"/>
            <w:tcBorders>
              <w:top w:val="single" w:color="auto" w:sz="4" w:space="0"/>
              <w:left w:val="nil"/>
              <w:bottom w:val="single" w:color="000000" w:sz="4" w:space="0"/>
              <w:right w:val="single" w:color="auto" w:sz="4" w:space="0"/>
            </w:tcBorders>
            <w:vAlign w:val="center"/>
          </w:tcPr>
          <w:p>
            <w:pPr>
              <w:jc w:val="center"/>
              <w:rPr>
                <w:rFonts w:ascii="仿宋_GB2312" w:hAnsi="宋体" w:eastAsia="仿宋_GB2312"/>
                <w:b/>
                <w:color w:val="000000"/>
                <w:sz w:val="20"/>
                <w:szCs w:val="20"/>
              </w:rPr>
            </w:pPr>
            <w:r>
              <w:rPr>
                <w:rFonts w:hint="eastAsia" w:ascii="仿宋_GB2312" w:eastAsia="仿宋_GB2312"/>
                <w:b/>
                <w:color w:val="000000"/>
                <w:sz w:val="20"/>
                <w:szCs w:val="20"/>
              </w:rPr>
              <w:t>事业单位经营收入</w:t>
            </w:r>
          </w:p>
        </w:tc>
        <w:tc>
          <w:tcPr>
            <w:tcW w:w="684" w:type="dxa"/>
            <w:vMerge w:val="restart"/>
            <w:tcBorders>
              <w:top w:val="single" w:color="auto" w:sz="4" w:space="0"/>
              <w:left w:val="nil"/>
              <w:right w:val="single" w:color="auto" w:sz="4" w:space="0"/>
            </w:tcBorders>
            <w:vAlign w:val="center"/>
          </w:tcPr>
          <w:p>
            <w:pPr>
              <w:jc w:val="center"/>
              <w:rPr>
                <w:rFonts w:ascii="仿宋_GB2312" w:hAnsi="宋体" w:eastAsia="仿宋_GB2312"/>
                <w:b/>
                <w:color w:val="000000"/>
                <w:sz w:val="20"/>
                <w:szCs w:val="20"/>
              </w:rPr>
            </w:pPr>
            <w:r>
              <w:rPr>
                <w:rFonts w:hint="eastAsia" w:ascii="仿宋_GB2312" w:eastAsia="仿宋_GB2312"/>
                <w:b/>
                <w:color w:val="000000"/>
                <w:sz w:val="20"/>
                <w:szCs w:val="20"/>
              </w:rPr>
              <w:t>单位其他资金收入</w:t>
            </w:r>
          </w:p>
        </w:tc>
      </w:tr>
      <w:tr>
        <w:tblPrEx>
          <w:tblLayout w:type="fixed"/>
          <w:tblCellMar>
            <w:top w:w="0" w:type="dxa"/>
            <w:left w:w="108" w:type="dxa"/>
            <w:bottom w:w="0" w:type="dxa"/>
            <w:right w:w="108" w:type="dxa"/>
          </w:tblCellMar>
        </w:tblPrEx>
        <w:trPr>
          <w:trHeight w:val="1165" w:hRule="atLeast"/>
        </w:trPr>
        <w:tc>
          <w:tcPr>
            <w:tcW w:w="561" w:type="dxa"/>
            <w:tcBorders>
              <w:top w:val="nil"/>
              <w:left w:val="single" w:color="auto" w:sz="4" w:space="0"/>
              <w:bottom w:val="single" w:color="auto" w:sz="4" w:space="0"/>
              <w:right w:val="single" w:color="auto" w:sz="4" w:space="0"/>
            </w:tcBorders>
            <w:vAlign w:val="center"/>
          </w:tcPr>
          <w:p>
            <w:pPr>
              <w:jc w:val="right"/>
              <w:rPr>
                <w:rFonts w:ascii="仿宋_GB2312" w:hAnsi="宋体"/>
                <w:b/>
                <w:bCs/>
                <w:color w:val="000000"/>
                <w:sz w:val="20"/>
                <w:szCs w:val="20"/>
              </w:rPr>
            </w:pPr>
            <w:r>
              <w:rPr>
                <w:rFonts w:ascii="仿宋_GB2312" w:hAnsi="仿宋_GB2312"/>
                <w:b/>
                <w:bCs/>
                <w:color w:val="000000"/>
                <w:sz w:val="20"/>
                <w:szCs w:val="20"/>
              </w:rPr>
              <w:t>类</w:t>
            </w:r>
          </w:p>
        </w:tc>
        <w:tc>
          <w:tcPr>
            <w:tcW w:w="450" w:type="dxa"/>
            <w:tcBorders>
              <w:top w:val="nil"/>
              <w:left w:val="nil"/>
              <w:bottom w:val="single" w:color="auto" w:sz="4" w:space="0"/>
              <w:right w:val="single" w:color="auto" w:sz="4" w:space="0"/>
            </w:tcBorders>
            <w:vAlign w:val="center"/>
          </w:tcPr>
          <w:p>
            <w:pPr>
              <w:jc w:val="right"/>
              <w:rPr>
                <w:rFonts w:ascii="仿宋_GB2312" w:hAnsi="宋体"/>
                <w:b/>
                <w:bCs/>
                <w:color w:val="000000"/>
                <w:sz w:val="20"/>
                <w:szCs w:val="20"/>
              </w:rPr>
            </w:pPr>
            <w:r>
              <w:rPr>
                <w:rFonts w:ascii="仿宋_GB2312" w:hAnsi="仿宋_GB2312"/>
                <w:b/>
                <w:bCs/>
                <w:color w:val="000000"/>
                <w:sz w:val="20"/>
                <w:szCs w:val="20"/>
              </w:rPr>
              <w:t>款</w:t>
            </w:r>
          </w:p>
        </w:tc>
        <w:tc>
          <w:tcPr>
            <w:tcW w:w="420" w:type="dxa"/>
            <w:tcBorders>
              <w:top w:val="nil"/>
              <w:left w:val="nil"/>
              <w:bottom w:val="single" w:color="auto" w:sz="4" w:space="0"/>
              <w:right w:val="single" w:color="auto" w:sz="4" w:space="0"/>
            </w:tcBorders>
            <w:vAlign w:val="center"/>
          </w:tcPr>
          <w:p>
            <w:pPr>
              <w:jc w:val="right"/>
              <w:rPr>
                <w:rFonts w:ascii="仿宋_GB2312" w:hAnsi="宋体"/>
                <w:b/>
                <w:bCs/>
                <w:color w:val="000000"/>
                <w:sz w:val="20"/>
                <w:szCs w:val="20"/>
              </w:rPr>
            </w:pPr>
            <w:r>
              <w:rPr>
                <w:rFonts w:ascii="仿宋_GB2312" w:hAnsi="仿宋_GB2312"/>
                <w:b/>
                <w:bCs/>
                <w:color w:val="000000"/>
                <w:sz w:val="20"/>
                <w:szCs w:val="20"/>
              </w:rPr>
              <w:t>项</w:t>
            </w:r>
          </w:p>
        </w:tc>
        <w:tc>
          <w:tcPr>
            <w:tcW w:w="2104" w:type="dxa"/>
            <w:vMerge w:val="continue"/>
            <w:tcBorders>
              <w:top w:val="single" w:color="auto" w:sz="4" w:space="0"/>
              <w:left w:val="nil"/>
              <w:bottom w:val="single" w:color="000000" w:sz="4" w:space="0"/>
              <w:right w:val="single" w:color="auto" w:sz="4" w:space="0"/>
            </w:tcBorders>
            <w:vAlign w:val="center"/>
          </w:tcPr>
          <w:p>
            <w:pPr>
              <w:widowControl/>
              <w:jc w:val="left"/>
              <w:rPr>
                <w:rFonts w:ascii="仿宋_GB2312" w:hAnsi="宋体"/>
                <w:b/>
                <w:bCs/>
                <w:color w:val="000000"/>
                <w:sz w:val="20"/>
                <w:szCs w:val="20"/>
              </w:rPr>
            </w:pPr>
          </w:p>
        </w:tc>
        <w:tc>
          <w:tcPr>
            <w:tcW w:w="1370" w:type="dxa"/>
            <w:vMerge w:val="continue"/>
            <w:tcBorders>
              <w:top w:val="single" w:color="auto" w:sz="4" w:space="0"/>
              <w:left w:val="nil"/>
              <w:bottom w:val="single" w:color="000000" w:sz="4" w:space="0"/>
              <w:right w:val="single" w:color="auto" w:sz="4" w:space="0"/>
            </w:tcBorders>
            <w:vAlign w:val="center"/>
          </w:tcPr>
          <w:p>
            <w:pPr>
              <w:widowControl/>
              <w:jc w:val="left"/>
              <w:rPr>
                <w:rFonts w:ascii="仿宋_GB2312" w:hAnsi="宋体"/>
                <w:b/>
                <w:bCs/>
                <w:color w:val="000000"/>
                <w:sz w:val="20"/>
                <w:szCs w:val="20"/>
              </w:rPr>
            </w:pPr>
          </w:p>
        </w:tc>
        <w:tc>
          <w:tcPr>
            <w:tcW w:w="1181" w:type="dxa"/>
            <w:vMerge w:val="continue"/>
            <w:tcBorders>
              <w:top w:val="single" w:color="auto" w:sz="4" w:space="0"/>
              <w:left w:val="nil"/>
              <w:bottom w:val="single" w:color="000000" w:sz="4" w:space="0"/>
              <w:right w:val="single" w:color="auto" w:sz="4" w:space="0"/>
            </w:tcBorders>
            <w:vAlign w:val="center"/>
          </w:tcPr>
          <w:p>
            <w:pPr>
              <w:widowControl/>
              <w:jc w:val="left"/>
              <w:rPr>
                <w:rFonts w:ascii="仿宋_GB2312" w:hAnsi="宋体"/>
                <w:b/>
                <w:bCs/>
                <w:color w:val="000000"/>
                <w:sz w:val="20"/>
                <w:szCs w:val="20"/>
              </w:rPr>
            </w:pPr>
          </w:p>
        </w:tc>
        <w:tc>
          <w:tcPr>
            <w:tcW w:w="703" w:type="dxa"/>
            <w:vMerge w:val="continue"/>
            <w:tcBorders>
              <w:top w:val="single" w:color="auto" w:sz="4" w:space="0"/>
              <w:left w:val="nil"/>
              <w:bottom w:val="single" w:color="000000" w:sz="4" w:space="0"/>
              <w:right w:val="single" w:color="auto" w:sz="4" w:space="0"/>
            </w:tcBorders>
            <w:vAlign w:val="center"/>
          </w:tcPr>
          <w:p>
            <w:pPr>
              <w:widowControl/>
              <w:jc w:val="left"/>
              <w:rPr>
                <w:rFonts w:ascii="仿宋_GB2312" w:hAnsi="宋体"/>
                <w:b/>
                <w:bCs/>
                <w:color w:val="000000"/>
                <w:sz w:val="20"/>
                <w:szCs w:val="20"/>
              </w:rPr>
            </w:pPr>
          </w:p>
        </w:tc>
        <w:tc>
          <w:tcPr>
            <w:tcW w:w="900" w:type="dxa"/>
            <w:vMerge w:val="continue"/>
            <w:tcBorders>
              <w:top w:val="single" w:color="auto" w:sz="4" w:space="0"/>
              <w:left w:val="nil"/>
              <w:bottom w:val="single" w:color="000000" w:sz="4" w:space="0"/>
              <w:right w:val="single" w:color="auto" w:sz="4" w:space="0"/>
            </w:tcBorders>
            <w:vAlign w:val="center"/>
          </w:tcPr>
          <w:p>
            <w:pPr>
              <w:widowControl/>
              <w:jc w:val="left"/>
              <w:rPr>
                <w:rFonts w:ascii="仿宋_GB2312" w:hAnsi="宋体"/>
                <w:b/>
                <w:bCs/>
                <w:color w:val="000000"/>
                <w:sz w:val="20"/>
                <w:szCs w:val="20"/>
              </w:rPr>
            </w:pPr>
          </w:p>
        </w:tc>
        <w:tc>
          <w:tcPr>
            <w:tcW w:w="660" w:type="dxa"/>
            <w:vMerge w:val="continue"/>
            <w:tcBorders>
              <w:top w:val="single" w:color="auto" w:sz="4" w:space="0"/>
              <w:left w:val="nil"/>
              <w:bottom w:val="single" w:color="000000" w:sz="4" w:space="0"/>
              <w:right w:val="single" w:color="auto" w:sz="4" w:space="0"/>
            </w:tcBorders>
            <w:vAlign w:val="center"/>
          </w:tcPr>
          <w:p>
            <w:pPr>
              <w:widowControl/>
              <w:jc w:val="left"/>
              <w:rPr>
                <w:rFonts w:ascii="仿宋_GB2312" w:hAnsi="宋体"/>
                <w:b/>
                <w:bCs/>
                <w:color w:val="000000"/>
                <w:sz w:val="20"/>
                <w:szCs w:val="20"/>
              </w:rPr>
            </w:pPr>
          </w:p>
        </w:tc>
        <w:tc>
          <w:tcPr>
            <w:tcW w:w="708" w:type="dxa"/>
            <w:vMerge w:val="continue"/>
            <w:tcBorders>
              <w:top w:val="single" w:color="auto" w:sz="4" w:space="0"/>
              <w:left w:val="nil"/>
              <w:bottom w:val="single" w:color="000000" w:sz="4" w:space="0"/>
              <w:right w:val="single" w:color="auto" w:sz="4" w:space="0"/>
            </w:tcBorders>
            <w:vAlign w:val="center"/>
          </w:tcPr>
          <w:p>
            <w:pPr>
              <w:widowControl/>
              <w:jc w:val="left"/>
              <w:rPr>
                <w:rFonts w:ascii="仿宋_GB2312" w:hAnsi="宋体"/>
                <w:b/>
                <w:bCs/>
                <w:color w:val="000000"/>
                <w:sz w:val="20"/>
                <w:szCs w:val="20"/>
              </w:rPr>
            </w:pPr>
          </w:p>
        </w:tc>
        <w:tc>
          <w:tcPr>
            <w:tcW w:w="684" w:type="dxa"/>
            <w:vMerge w:val="continue"/>
            <w:tcBorders>
              <w:top w:val="single" w:color="auto" w:sz="4" w:space="0"/>
              <w:left w:val="nil"/>
              <w:bottom w:val="single" w:color="000000" w:sz="4" w:space="0"/>
              <w:right w:val="single" w:color="auto" w:sz="4" w:space="0"/>
            </w:tcBorders>
            <w:vAlign w:val="center"/>
          </w:tcPr>
          <w:p>
            <w:pPr>
              <w:widowControl/>
              <w:jc w:val="left"/>
              <w:rPr>
                <w:rFonts w:ascii="仿宋_GB2312" w:hAnsi="宋体"/>
                <w:b/>
                <w:bCs/>
                <w:color w:val="000000"/>
                <w:sz w:val="20"/>
                <w:szCs w:val="20"/>
              </w:rPr>
            </w:pPr>
          </w:p>
        </w:tc>
        <w:tc>
          <w:tcPr>
            <w:tcW w:w="684" w:type="dxa"/>
            <w:vMerge w:val="continue"/>
            <w:tcBorders>
              <w:left w:val="nil"/>
              <w:bottom w:val="single" w:color="000000" w:sz="4" w:space="0"/>
              <w:right w:val="single" w:color="auto" w:sz="4" w:space="0"/>
            </w:tcBorders>
            <w:vAlign w:val="center"/>
          </w:tcPr>
          <w:p>
            <w:pPr>
              <w:widowControl/>
              <w:jc w:val="left"/>
              <w:rPr>
                <w:rFonts w:ascii="仿宋_GB2312" w:hAnsi="宋体"/>
                <w:b/>
                <w:bCs/>
                <w:color w:val="000000"/>
                <w:sz w:val="20"/>
                <w:szCs w:val="20"/>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210</w:t>
            </w: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医疗卫生与</w:t>
            </w:r>
            <w:r>
              <w:rPr>
                <w:rFonts w:hint="eastAsia" w:ascii="仿宋_GB2312" w:hAnsi="宋体"/>
                <w:color w:val="000000"/>
                <w:sz w:val="20"/>
                <w:szCs w:val="20"/>
                <w:lang w:eastAsia="zh-CN"/>
              </w:rPr>
              <w:t>*</w:t>
            </w:r>
            <w:r>
              <w:rPr>
                <w:rFonts w:hint="eastAsia" w:ascii="仿宋_GB2312" w:hAnsi="宋体"/>
                <w:color w:val="000000"/>
                <w:sz w:val="20"/>
                <w:szCs w:val="20"/>
              </w:rPr>
              <w:t>支出</w:t>
            </w:r>
          </w:p>
        </w:tc>
        <w:tc>
          <w:tcPr>
            <w:tcW w:w="1370" w:type="dxa"/>
            <w:tcBorders>
              <w:top w:val="nil"/>
              <w:left w:val="nil"/>
              <w:bottom w:val="single" w:color="auto" w:sz="4" w:space="0"/>
              <w:right w:val="single" w:color="auto" w:sz="4" w:space="0"/>
            </w:tcBorders>
            <w:shd w:val="clear" w:color="auto" w:fill="FFFFFF"/>
            <w:noWrap/>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2762.11</w:t>
            </w:r>
          </w:p>
        </w:tc>
        <w:tc>
          <w:tcPr>
            <w:tcW w:w="1181" w:type="dxa"/>
            <w:tcBorders>
              <w:top w:val="nil"/>
              <w:left w:val="nil"/>
              <w:bottom w:val="single" w:color="auto" w:sz="4" w:space="0"/>
              <w:right w:val="single" w:color="auto" w:sz="4" w:space="0"/>
            </w:tcBorders>
            <w:shd w:val="clear" w:color="auto" w:fill="FFFFFF"/>
            <w:noWrap/>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2762.11</w:t>
            </w:r>
          </w:p>
        </w:tc>
        <w:tc>
          <w:tcPr>
            <w:tcW w:w="703" w:type="dxa"/>
            <w:tcBorders>
              <w:top w:val="nil"/>
              <w:left w:val="nil"/>
              <w:bottom w:val="single" w:color="auto" w:sz="4" w:space="0"/>
              <w:right w:val="single" w:color="auto" w:sz="4" w:space="0"/>
            </w:tcBorders>
            <w:shd w:val="clear" w:color="auto" w:fill="FFFFFF"/>
            <w:noWrap/>
            <w:vAlign w:val="center"/>
          </w:tcPr>
          <w:p>
            <w:pPr>
              <w:widowControl/>
              <w:spacing w:line="280" w:lineRule="exact"/>
              <w:jc w:val="right"/>
              <w:rPr>
                <w:rFonts w:ascii="仿宋_GB2312" w:hAnsi="宋体"/>
                <w:kern w:val="0"/>
                <w:sz w:val="18"/>
                <w:szCs w:val="18"/>
              </w:rPr>
            </w:pPr>
          </w:p>
        </w:tc>
        <w:tc>
          <w:tcPr>
            <w:tcW w:w="900" w:type="dxa"/>
            <w:tcBorders>
              <w:top w:val="nil"/>
              <w:left w:val="nil"/>
              <w:bottom w:val="single" w:color="auto" w:sz="4" w:space="0"/>
              <w:right w:val="single" w:color="auto" w:sz="4" w:space="0"/>
            </w:tcBorders>
            <w:shd w:val="clear" w:color="auto" w:fill="FFFFFF"/>
            <w:noWrap/>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shd w:val="clear" w:color="auto" w:fill="FFFFFF"/>
            <w:noWrap/>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shd w:val="clear" w:color="auto" w:fill="FFFFFF"/>
            <w:noWrap/>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shd w:val="clear" w:color="auto" w:fill="FFFFFF"/>
            <w:noWrap/>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shd w:val="clear" w:color="auto" w:fill="FFFFFF"/>
            <w:noWrap/>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210</w:t>
            </w: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02</w:t>
            </w: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公立医院</w:t>
            </w: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2146.11</w:t>
            </w: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2146.11</w:t>
            </w: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210</w:t>
            </w: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02</w:t>
            </w: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01</w:t>
            </w: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综合医院</w:t>
            </w: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2146.11</w:t>
            </w: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2146.11</w:t>
            </w: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210</w:t>
            </w: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04</w:t>
            </w: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公共卫生</w:t>
            </w: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616</w:t>
            </w: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616</w:t>
            </w: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210</w:t>
            </w: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04</w:t>
            </w: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10</w:t>
            </w: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宋体" w:hAnsi="宋体"/>
                <w:color w:val="000000"/>
                <w:kern w:val="0"/>
                <w:sz w:val="20"/>
                <w:szCs w:val="20"/>
              </w:rPr>
              <w:t>突发公共卫生事件应急处理</w:t>
            </w: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616</w:t>
            </w: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616</w:t>
            </w: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208</w:t>
            </w: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社会保障和就业支出</w:t>
            </w: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208</w:t>
            </w: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05</w:t>
            </w: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行政事业单位离退休</w:t>
            </w: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208</w:t>
            </w: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05</w:t>
            </w: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05</w:t>
            </w: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机关事业单位基本养老保险缴费支出</w:t>
            </w: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221</w:t>
            </w: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住房保障支出</w:t>
            </w: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221</w:t>
            </w: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02</w:t>
            </w: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住房改革支出</w:t>
            </w: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221</w:t>
            </w: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02</w:t>
            </w: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01</w:t>
            </w: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住房公积金</w:t>
            </w: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212</w:t>
            </w: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城乡社区支出</w:t>
            </w: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212</w:t>
            </w: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08</w:t>
            </w: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国有土地使用权出让收入及对应专项债务收入安排的支出</w:t>
            </w: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212</w:t>
            </w: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08</w:t>
            </w: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03</w:t>
            </w: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城市建设支出</w:t>
            </w: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104"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65" w:hRule="atLeast"/>
        </w:trPr>
        <w:tc>
          <w:tcPr>
            <w:tcW w:w="561"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p>
        </w:tc>
        <w:tc>
          <w:tcPr>
            <w:tcW w:w="45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2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104" w:type="dxa"/>
            <w:tcBorders>
              <w:top w:val="nil"/>
              <w:left w:val="nil"/>
              <w:bottom w:val="single" w:color="auto" w:sz="4" w:space="0"/>
              <w:right w:val="single" w:color="auto" w:sz="4" w:space="0"/>
            </w:tcBorders>
            <w:vAlign w:val="center"/>
          </w:tcPr>
          <w:p>
            <w:pPr>
              <w:jc w:val="center"/>
              <w:rPr>
                <w:rFonts w:ascii="仿宋_GB2312" w:hAnsi="宋体"/>
                <w:color w:val="000000"/>
                <w:sz w:val="20"/>
                <w:szCs w:val="20"/>
              </w:rPr>
            </w:pPr>
            <w:r>
              <w:rPr>
                <w:rFonts w:ascii="仿宋_GB2312" w:hAnsi="仿宋_GB2312"/>
                <w:b/>
                <w:bCs/>
                <w:color w:val="000000"/>
                <w:sz w:val="20"/>
                <w:szCs w:val="20"/>
              </w:rPr>
              <w:t>合  计</w:t>
            </w:r>
          </w:p>
        </w:tc>
        <w:tc>
          <w:tcPr>
            <w:tcW w:w="137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3151.33</w:t>
            </w:r>
          </w:p>
        </w:tc>
        <w:tc>
          <w:tcPr>
            <w:tcW w:w="118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3140.63</w:t>
            </w:r>
          </w:p>
        </w:tc>
        <w:tc>
          <w:tcPr>
            <w:tcW w:w="7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6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bl>
    <w:p>
      <w:pPr>
        <w:widowControl/>
        <w:spacing w:line="280" w:lineRule="exact"/>
        <w:outlineLvl w:val="1"/>
        <w:rPr>
          <w:rFonts w:ascii="仿宋_GB2312" w:hAnsi="宋体"/>
          <w:b/>
          <w:bCs/>
          <w:kern w:val="0"/>
          <w:sz w:val="28"/>
          <w:szCs w:val="28"/>
        </w:rPr>
      </w:pPr>
      <w:r>
        <w:rPr>
          <w:rFonts w:ascii="仿宋_GB2312" w:hAnsi="宋体"/>
          <w:b/>
          <w:bCs/>
          <w:kern w:val="0"/>
          <w:sz w:val="28"/>
          <w:szCs w:val="28"/>
        </w:rPr>
        <w:t xml:space="preserve"> </w:t>
      </w:r>
    </w:p>
    <w:p>
      <w:pPr>
        <w:widowControl/>
        <w:spacing w:line="280" w:lineRule="exact"/>
        <w:outlineLvl w:val="1"/>
        <w:rPr>
          <w:rFonts w:ascii="仿宋_GB2312" w:hAnsi="宋体"/>
          <w:b/>
          <w:bCs/>
          <w:kern w:val="0"/>
          <w:sz w:val="32"/>
          <w:szCs w:val="32"/>
        </w:rPr>
      </w:pPr>
      <w:r>
        <w:rPr>
          <w:rFonts w:ascii="仿宋_GB2312" w:hAnsi="宋体"/>
          <w:b/>
          <w:bCs/>
          <w:kern w:val="0"/>
          <w:sz w:val="28"/>
          <w:szCs w:val="28"/>
        </w:rPr>
        <w:br w:type="page"/>
      </w:r>
      <w:r>
        <w:rPr>
          <w:rFonts w:ascii="仿宋_GB2312" w:hAnsi="仿宋_GB2312"/>
          <w:b/>
          <w:bCs/>
          <w:kern w:val="0"/>
          <w:sz w:val="32"/>
          <w:szCs w:val="32"/>
        </w:rPr>
        <w:t>表三：</w:t>
      </w:r>
    </w:p>
    <w:p>
      <w:pPr>
        <w:widowControl/>
        <w:spacing w:line="280" w:lineRule="exact"/>
        <w:jc w:val="center"/>
        <w:outlineLvl w:val="1"/>
        <w:rPr>
          <w:rFonts w:ascii="仿宋_GB2312" w:hAnsi="宋体"/>
          <w:b/>
          <w:bCs/>
          <w:kern w:val="0"/>
          <w:sz w:val="32"/>
          <w:szCs w:val="32"/>
        </w:rPr>
      </w:pPr>
      <w:r>
        <w:rPr>
          <w:rFonts w:ascii="仿宋_GB2312" w:hAnsi="仿宋_GB2312"/>
          <w:b/>
          <w:bCs/>
          <w:kern w:val="0"/>
          <w:sz w:val="32"/>
          <w:szCs w:val="32"/>
        </w:rPr>
        <w:t>部门支出总体情况表</w:t>
      </w:r>
    </w:p>
    <w:p>
      <w:pPr>
        <w:widowControl/>
        <w:spacing w:line="280" w:lineRule="exact"/>
        <w:outlineLvl w:val="1"/>
        <w:rPr>
          <w:rFonts w:ascii="仿宋_GB2312" w:hAnsi="宋体" w:eastAsia="仿宋_GB2312"/>
          <w:kern w:val="0"/>
          <w:sz w:val="18"/>
          <w:szCs w:val="18"/>
        </w:rPr>
      </w:pPr>
      <w:r>
        <w:rPr>
          <w:rFonts w:hint="eastAsia" w:ascii="仿宋_GB2312" w:hAnsi="宋体" w:eastAsia="仿宋_GB2312"/>
          <w:kern w:val="0"/>
          <w:sz w:val="18"/>
          <w:szCs w:val="18"/>
        </w:rPr>
        <w:t>编制部门：  伊州区人民医院                                                             单位：万元</w:t>
      </w:r>
    </w:p>
    <w:tbl>
      <w:tblPr>
        <w:tblStyle w:val="4"/>
        <w:tblW w:w="9420" w:type="dxa"/>
        <w:tblInd w:w="-240" w:type="dxa"/>
        <w:tblLayout w:type="fixed"/>
        <w:tblCellMar>
          <w:top w:w="0" w:type="dxa"/>
          <w:left w:w="108" w:type="dxa"/>
          <w:bottom w:w="0" w:type="dxa"/>
          <w:right w:w="108" w:type="dxa"/>
        </w:tblCellMar>
      </w:tblPr>
      <w:tblGrid>
        <w:gridCol w:w="568"/>
        <w:gridCol w:w="451"/>
        <w:gridCol w:w="451"/>
        <w:gridCol w:w="2495"/>
        <w:gridCol w:w="1811"/>
        <w:gridCol w:w="1796"/>
        <w:gridCol w:w="1848"/>
      </w:tblGrid>
      <w:tr>
        <w:tblPrEx>
          <w:tblLayout w:type="fixed"/>
          <w:tblCellMar>
            <w:top w:w="0" w:type="dxa"/>
            <w:left w:w="108" w:type="dxa"/>
            <w:bottom w:w="0" w:type="dxa"/>
            <w:right w:w="108" w:type="dxa"/>
          </w:tblCellMar>
        </w:tblPrEx>
        <w:trPr>
          <w:trHeight w:val="345" w:hRule="atLeast"/>
        </w:trPr>
        <w:tc>
          <w:tcPr>
            <w:tcW w:w="396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b/>
                <w:bCs/>
                <w:color w:val="000000"/>
                <w:kern w:val="0"/>
                <w:sz w:val="20"/>
                <w:szCs w:val="20"/>
              </w:rPr>
            </w:pPr>
            <w:r>
              <w:rPr>
                <w:rFonts w:hint="eastAsia" w:ascii="宋体" w:hAnsi="宋体"/>
                <w:b/>
                <w:bCs/>
                <w:color w:val="000000"/>
                <w:kern w:val="0"/>
                <w:sz w:val="20"/>
                <w:szCs w:val="20"/>
              </w:rPr>
              <w:t>项    目</w:t>
            </w:r>
          </w:p>
        </w:tc>
        <w:tc>
          <w:tcPr>
            <w:tcW w:w="5455"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宋体" w:hAnsi="宋体"/>
                <w:b/>
                <w:bCs/>
                <w:color w:val="000000"/>
                <w:kern w:val="0"/>
                <w:sz w:val="20"/>
                <w:szCs w:val="20"/>
              </w:rPr>
            </w:pPr>
            <w:r>
              <w:rPr>
                <w:rFonts w:hint="eastAsia" w:ascii="宋体" w:hAnsi="宋体"/>
                <w:b/>
                <w:bCs/>
                <w:color w:val="000000"/>
                <w:kern w:val="0"/>
                <w:sz w:val="20"/>
                <w:szCs w:val="20"/>
              </w:rPr>
              <w:t>支出预算</w:t>
            </w:r>
          </w:p>
        </w:tc>
      </w:tr>
      <w:tr>
        <w:tblPrEx>
          <w:tblLayout w:type="fixed"/>
          <w:tblCellMar>
            <w:top w:w="0" w:type="dxa"/>
            <w:left w:w="108" w:type="dxa"/>
            <w:bottom w:w="0" w:type="dxa"/>
            <w:right w:w="108" w:type="dxa"/>
          </w:tblCellMar>
        </w:tblPrEx>
        <w:trPr>
          <w:trHeight w:val="480" w:hRule="atLeast"/>
        </w:trPr>
        <w:tc>
          <w:tcPr>
            <w:tcW w:w="147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b/>
                <w:bCs/>
                <w:color w:val="000000"/>
                <w:kern w:val="0"/>
                <w:sz w:val="20"/>
                <w:szCs w:val="20"/>
              </w:rPr>
            </w:pPr>
            <w:r>
              <w:rPr>
                <w:rFonts w:hint="eastAsia" w:ascii="宋体" w:hAnsi="宋体"/>
                <w:b/>
                <w:bCs/>
                <w:color w:val="000000"/>
                <w:kern w:val="0"/>
                <w:sz w:val="20"/>
                <w:szCs w:val="20"/>
              </w:rPr>
              <w:t>功能分类科目编码</w:t>
            </w:r>
          </w:p>
        </w:tc>
        <w:tc>
          <w:tcPr>
            <w:tcW w:w="249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宋体" w:hAnsi="宋体"/>
                <w:b/>
                <w:bCs/>
                <w:color w:val="000000"/>
                <w:kern w:val="0"/>
                <w:sz w:val="20"/>
                <w:szCs w:val="20"/>
              </w:rPr>
            </w:pPr>
            <w:r>
              <w:rPr>
                <w:rFonts w:hint="eastAsia" w:ascii="宋体" w:hAnsi="宋体"/>
                <w:b/>
                <w:bCs/>
                <w:color w:val="000000"/>
                <w:kern w:val="0"/>
                <w:sz w:val="20"/>
                <w:szCs w:val="20"/>
              </w:rPr>
              <w:t>功能分类科目名称</w:t>
            </w:r>
          </w:p>
        </w:tc>
        <w:tc>
          <w:tcPr>
            <w:tcW w:w="1811"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宋体" w:hAnsi="宋体"/>
                <w:b/>
                <w:bCs/>
                <w:color w:val="000000"/>
                <w:kern w:val="0"/>
                <w:sz w:val="20"/>
                <w:szCs w:val="20"/>
              </w:rPr>
            </w:pPr>
            <w:r>
              <w:rPr>
                <w:rFonts w:hint="eastAsia" w:ascii="宋体" w:hAnsi="宋体"/>
                <w:b/>
                <w:bCs/>
                <w:color w:val="000000"/>
                <w:kern w:val="0"/>
                <w:sz w:val="20"/>
                <w:szCs w:val="20"/>
              </w:rPr>
              <w:t>合  计</w:t>
            </w:r>
          </w:p>
        </w:tc>
        <w:tc>
          <w:tcPr>
            <w:tcW w:w="1796"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宋体" w:hAnsi="宋体"/>
                <w:b/>
                <w:bCs/>
                <w:color w:val="000000"/>
                <w:kern w:val="0"/>
                <w:sz w:val="20"/>
                <w:szCs w:val="20"/>
              </w:rPr>
            </w:pPr>
            <w:r>
              <w:rPr>
                <w:rFonts w:hint="eastAsia" w:ascii="宋体" w:hAnsi="宋体"/>
                <w:b/>
                <w:bCs/>
                <w:color w:val="000000"/>
                <w:kern w:val="0"/>
                <w:sz w:val="20"/>
                <w:szCs w:val="20"/>
              </w:rPr>
              <w:t>基本支出</w:t>
            </w:r>
          </w:p>
        </w:tc>
        <w:tc>
          <w:tcPr>
            <w:tcW w:w="1848"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宋体" w:hAnsi="宋体"/>
                <w:b/>
                <w:bCs/>
                <w:color w:val="000000"/>
                <w:kern w:val="0"/>
                <w:sz w:val="20"/>
                <w:szCs w:val="20"/>
              </w:rPr>
            </w:pPr>
            <w:r>
              <w:rPr>
                <w:rFonts w:hint="eastAsia" w:ascii="宋体" w:hAnsi="宋体"/>
                <w:b/>
                <w:bCs/>
                <w:color w:val="000000"/>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b/>
                <w:bCs/>
                <w:color w:val="000000"/>
                <w:kern w:val="0"/>
                <w:sz w:val="16"/>
                <w:szCs w:val="16"/>
              </w:rPr>
            </w:pPr>
            <w:r>
              <w:rPr>
                <w:rFonts w:hint="eastAsia" w:ascii="宋体" w:hAnsi="宋体"/>
                <w:b/>
                <w:bCs/>
                <w:color w:val="000000"/>
                <w:kern w:val="0"/>
                <w:sz w:val="16"/>
                <w:szCs w:val="16"/>
              </w:rPr>
              <w:t>类</w:t>
            </w:r>
          </w:p>
        </w:tc>
        <w:tc>
          <w:tcPr>
            <w:tcW w:w="4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b/>
                <w:bCs/>
                <w:color w:val="000000"/>
                <w:kern w:val="0"/>
                <w:sz w:val="16"/>
                <w:szCs w:val="16"/>
              </w:rPr>
            </w:pPr>
            <w:r>
              <w:rPr>
                <w:rFonts w:hint="eastAsia" w:ascii="宋体" w:hAnsi="宋体"/>
                <w:b/>
                <w:bCs/>
                <w:color w:val="000000"/>
                <w:kern w:val="0"/>
                <w:sz w:val="16"/>
                <w:szCs w:val="16"/>
              </w:rPr>
              <w:t>款</w:t>
            </w:r>
          </w:p>
        </w:tc>
        <w:tc>
          <w:tcPr>
            <w:tcW w:w="4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b/>
                <w:bCs/>
                <w:color w:val="000000"/>
                <w:kern w:val="0"/>
                <w:sz w:val="16"/>
                <w:szCs w:val="16"/>
              </w:rPr>
            </w:pPr>
            <w:r>
              <w:rPr>
                <w:rFonts w:hint="eastAsia" w:ascii="宋体" w:hAnsi="宋体"/>
                <w:b/>
                <w:bCs/>
                <w:color w:val="000000"/>
                <w:kern w:val="0"/>
                <w:sz w:val="16"/>
                <w:szCs w:val="16"/>
              </w:rPr>
              <w:t>项</w:t>
            </w:r>
          </w:p>
        </w:tc>
        <w:tc>
          <w:tcPr>
            <w:tcW w:w="2495" w:type="dxa"/>
            <w:vMerge w:val="continue"/>
            <w:tcBorders>
              <w:top w:val="nil"/>
              <w:left w:val="nil"/>
              <w:bottom w:val="single" w:color="000000" w:sz="4" w:space="0"/>
              <w:right w:val="single" w:color="auto" w:sz="4" w:space="0"/>
            </w:tcBorders>
            <w:vAlign w:val="center"/>
          </w:tcPr>
          <w:p>
            <w:pPr>
              <w:widowControl/>
              <w:jc w:val="left"/>
              <w:rPr>
                <w:rFonts w:ascii="宋体" w:hAnsi="宋体"/>
                <w:b/>
                <w:bCs/>
                <w:color w:val="000000"/>
                <w:kern w:val="0"/>
                <w:sz w:val="20"/>
                <w:szCs w:val="20"/>
              </w:rPr>
            </w:pPr>
          </w:p>
        </w:tc>
        <w:tc>
          <w:tcPr>
            <w:tcW w:w="1811" w:type="dxa"/>
            <w:vMerge w:val="continue"/>
            <w:tcBorders>
              <w:top w:val="nil"/>
              <w:left w:val="nil"/>
              <w:bottom w:val="single" w:color="000000" w:sz="4" w:space="0"/>
              <w:right w:val="single" w:color="auto" w:sz="4" w:space="0"/>
            </w:tcBorders>
            <w:vAlign w:val="center"/>
          </w:tcPr>
          <w:p>
            <w:pPr>
              <w:widowControl/>
              <w:jc w:val="left"/>
              <w:rPr>
                <w:rFonts w:ascii="宋体" w:hAnsi="宋体"/>
                <w:b/>
                <w:bCs/>
                <w:color w:val="000000"/>
                <w:kern w:val="0"/>
                <w:sz w:val="20"/>
                <w:szCs w:val="20"/>
              </w:rPr>
            </w:pPr>
          </w:p>
        </w:tc>
        <w:tc>
          <w:tcPr>
            <w:tcW w:w="1796" w:type="dxa"/>
            <w:vMerge w:val="continue"/>
            <w:tcBorders>
              <w:top w:val="nil"/>
              <w:left w:val="nil"/>
              <w:bottom w:val="single" w:color="000000" w:sz="4" w:space="0"/>
              <w:right w:val="single" w:color="auto" w:sz="4" w:space="0"/>
            </w:tcBorders>
            <w:vAlign w:val="center"/>
          </w:tcPr>
          <w:p>
            <w:pPr>
              <w:widowControl/>
              <w:jc w:val="left"/>
              <w:rPr>
                <w:rFonts w:ascii="宋体" w:hAnsi="宋体"/>
                <w:b/>
                <w:bCs/>
                <w:color w:val="000000"/>
                <w:kern w:val="0"/>
                <w:sz w:val="20"/>
                <w:szCs w:val="20"/>
              </w:rPr>
            </w:pPr>
          </w:p>
        </w:tc>
        <w:tc>
          <w:tcPr>
            <w:tcW w:w="1848" w:type="dxa"/>
            <w:vMerge w:val="continue"/>
            <w:tcBorders>
              <w:top w:val="nil"/>
              <w:left w:val="nil"/>
              <w:bottom w:val="single" w:color="000000" w:sz="4" w:space="0"/>
              <w:right w:val="single" w:color="auto" w:sz="4" w:space="0"/>
            </w:tcBorders>
            <w:vAlign w:val="center"/>
          </w:tcPr>
          <w:p>
            <w:pPr>
              <w:widowControl/>
              <w:jc w:val="left"/>
              <w:rPr>
                <w:rFonts w:ascii="宋体" w:hAnsi="宋体"/>
                <w:b/>
                <w:bCs/>
                <w:color w:val="000000"/>
                <w:kern w:val="0"/>
                <w:sz w:val="20"/>
                <w:szCs w:val="20"/>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210</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495"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医疗卫生与</w:t>
            </w:r>
            <w:r>
              <w:rPr>
                <w:rFonts w:hint="eastAsia" w:ascii="仿宋_GB2312" w:hAnsi="宋体"/>
                <w:color w:val="000000"/>
                <w:sz w:val="20"/>
                <w:szCs w:val="20"/>
                <w:lang w:eastAsia="zh-CN"/>
              </w:rPr>
              <w:t>*</w:t>
            </w:r>
            <w:r>
              <w:rPr>
                <w:rFonts w:hint="eastAsia" w:ascii="仿宋_GB2312" w:hAnsi="宋体"/>
                <w:color w:val="000000"/>
                <w:sz w:val="20"/>
                <w:szCs w:val="20"/>
              </w:rPr>
              <w:t>支出</w:t>
            </w: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2762.11</w:t>
            </w: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2146.11</w:t>
            </w: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616</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210</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02</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01</w:t>
            </w:r>
          </w:p>
        </w:tc>
        <w:tc>
          <w:tcPr>
            <w:tcW w:w="2495"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公立医院</w:t>
            </w: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2146.11</w:t>
            </w: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2146.11</w:t>
            </w: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210</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02</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01</w:t>
            </w:r>
          </w:p>
        </w:tc>
        <w:tc>
          <w:tcPr>
            <w:tcW w:w="2495"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综合医院</w:t>
            </w: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2146.11</w:t>
            </w: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2146.11</w:t>
            </w: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210</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04</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495"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公共卫生</w:t>
            </w: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616</w:t>
            </w: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616</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210</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04</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10</w:t>
            </w:r>
          </w:p>
        </w:tc>
        <w:tc>
          <w:tcPr>
            <w:tcW w:w="2495"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宋体" w:hAnsi="宋体"/>
                <w:color w:val="000000"/>
                <w:kern w:val="0"/>
                <w:sz w:val="20"/>
                <w:szCs w:val="20"/>
              </w:rPr>
              <w:t>突发公共卫生事件应急处理</w:t>
            </w: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616</w:t>
            </w: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616</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208</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495"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社会保障和就业支出</w:t>
            </w: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208</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05</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495"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行政事业单位离退休</w:t>
            </w: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208</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05</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05</w:t>
            </w:r>
          </w:p>
        </w:tc>
        <w:tc>
          <w:tcPr>
            <w:tcW w:w="2495"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机关事业单位基本养老保险缴费支出</w:t>
            </w: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221</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495"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住房保障支出</w:t>
            </w: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221</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02</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495"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住房改革支出</w:t>
            </w: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221</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02</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01</w:t>
            </w:r>
          </w:p>
        </w:tc>
        <w:tc>
          <w:tcPr>
            <w:tcW w:w="2495"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住房公积金</w:t>
            </w: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212</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495"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城乡社区支出</w:t>
            </w: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212</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08</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495"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国有土地使用权出让收入及对应专项债务收入安排的支出</w:t>
            </w: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212</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08</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03</w:t>
            </w:r>
          </w:p>
        </w:tc>
        <w:tc>
          <w:tcPr>
            <w:tcW w:w="2495"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城市建设支出</w:t>
            </w: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495" w:type="dxa"/>
            <w:tcBorders>
              <w:top w:val="nil"/>
              <w:left w:val="nil"/>
              <w:bottom w:val="single" w:color="auto" w:sz="4" w:space="0"/>
              <w:right w:val="single" w:color="auto" w:sz="4" w:space="0"/>
            </w:tcBorders>
            <w:vAlign w:val="center"/>
          </w:tcPr>
          <w:p>
            <w:pPr>
              <w:widowControl/>
              <w:spacing w:line="280" w:lineRule="exact"/>
              <w:jc w:val="left"/>
              <w:rPr>
                <w:rFonts w:ascii="宋体" w:hAnsi="宋体"/>
                <w:b/>
                <w:bCs/>
                <w:color w:val="000000"/>
                <w:kern w:val="0"/>
                <w:sz w:val="22"/>
                <w:szCs w:val="22"/>
              </w:rPr>
            </w:pP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495" w:type="dxa"/>
            <w:tcBorders>
              <w:top w:val="nil"/>
              <w:left w:val="nil"/>
              <w:bottom w:val="single" w:color="auto" w:sz="4" w:space="0"/>
              <w:right w:val="single" w:color="auto" w:sz="4" w:space="0"/>
            </w:tcBorders>
            <w:vAlign w:val="center"/>
          </w:tcPr>
          <w:p>
            <w:pPr>
              <w:widowControl/>
              <w:spacing w:line="280" w:lineRule="exact"/>
              <w:jc w:val="left"/>
              <w:rPr>
                <w:rFonts w:ascii="宋体" w:hAnsi="宋体"/>
                <w:b/>
                <w:bCs/>
                <w:color w:val="000000"/>
                <w:kern w:val="0"/>
                <w:sz w:val="22"/>
                <w:szCs w:val="22"/>
              </w:rPr>
            </w:pP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495" w:type="dxa"/>
            <w:tcBorders>
              <w:top w:val="nil"/>
              <w:left w:val="nil"/>
              <w:bottom w:val="single" w:color="auto" w:sz="4" w:space="0"/>
              <w:right w:val="single" w:color="auto" w:sz="4" w:space="0"/>
            </w:tcBorders>
            <w:vAlign w:val="center"/>
          </w:tcPr>
          <w:p>
            <w:pPr>
              <w:widowControl/>
              <w:spacing w:line="280" w:lineRule="exact"/>
              <w:jc w:val="left"/>
              <w:rPr>
                <w:rFonts w:ascii="宋体" w:hAnsi="宋体"/>
                <w:b/>
                <w:bCs/>
                <w:color w:val="000000"/>
                <w:kern w:val="0"/>
                <w:sz w:val="22"/>
                <w:szCs w:val="22"/>
              </w:rPr>
            </w:pP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495" w:type="dxa"/>
            <w:tcBorders>
              <w:top w:val="nil"/>
              <w:left w:val="nil"/>
              <w:bottom w:val="single" w:color="auto" w:sz="4" w:space="0"/>
              <w:right w:val="single" w:color="auto" w:sz="4" w:space="0"/>
            </w:tcBorders>
            <w:vAlign w:val="center"/>
          </w:tcPr>
          <w:p>
            <w:pPr>
              <w:widowControl/>
              <w:spacing w:line="280" w:lineRule="exact"/>
              <w:jc w:val="left"/>
              <w:rPr>
                <w:rFonts w:ascii="宋体" w:hAnsi="宋体"/>
                <w:b/>
                <w:bCs/>
                <w:color w:val="000000"/>
                <w:kern w:val="0"/>
                <w:sz w:val="22"/>
                <w:szCs w:val="22"/>
              </w:rPr>
            </w:pP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495" w:type="dxa"/>
            <w:tcBorders>
              <w:top w:val="nil"/>
              <w:left w:val="nil"/>
              <w:bottom w:val="single" w:color="auto" w:sz="4" w:space="0"/>
              <w:right w:val="single" w:color="auto" w:sz="4" w:space="0"/>
            </w:tcBorders>
            <w:vAlign w:val="center"/>
          </w:tcPr>
          <w:p>
            <w:pPr>
              <w:widowControl/>
              <w:spacing w:line="280" w:lineRule="exact"/>
              <w:jc w:val="left"/>
              <w:rPr>
                <w:rFonts w:ascii="宋体" w:hAnsi="宋体"/>
                <w:b/>
                <w:bCs/>
                <w:color w:val="000000"/>
                <w:kern w:val="0"/>
                <w:sz w:val="22"/>
                <w:szCs w:val="22"/>
              </w:rPr>
            </w:pP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495" w:type="dxa"/>
            <w:tcBorders>
              <w:top w:val="nil"/>
              <w:left w:val="nil"/>
              <w:bottom w:val="single" w:color="auto" w:sz="4" w:space="0"/>
              <w:right w:val="single" w:color="auto" w:sz="4" w:space="0"/>
            </w:tcBorders>
            <w:vAlign w:val="center"/>
          </w:tcPr>
          <w:p>
            <w:pPr>
              <w:widowControl/>
              <w:spacing w:line="280" w:lineRule="exact"/>
              <w:jc w:val="left"/>
              <w:rPr>
                <w:rFonts w:ascii="宋体" w:hAnsi="宋体"/>
                <w:b/>
                <w:bCs/>
                <w:color w:val="000000"/>
                <w:kern w:val="0"/>
                <w:sz w:val="22"/>
                <w:szCs w:val="22"/>
              </w:rPr>
            </w:pP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495" w:type="dxa"/>
            <w:tcBorders>
              <w:top w:val="nil"/>
              <w:left w:val="nil"/>
              <w:bottom w:val="single" w:color="auto" w:sz="4" w:space="0"/>
              <w:right w:val="single" w:color="auto" w:sz="4" w:space="0"/>
            </w:tcBorders>
            <w:vAlign w:val="center"/>
          </w:tcPr>
          <w:p>
            <w:pPr>
              <w:widowControl/>
              <w:spacing w:line="280" w:lineRule="exact"/>
              <w:jc w:val="left"/>
              <w:rPr>
                <w:rFonts w:ascii="宋体" w:hAnsi="宋体"/>
                <w:b/>
                <w:bCs/>
                <w:color w:val="000000"/>
                <w:kern w:val="0"/>
                <w:sz w:val="22"/>
                <w:szCs w:val="22"/>
              </w:rPr>
            </w:pP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olor w:val="000000"/>
                <w:kern w:val="0"/>
                <w:sz w:val="22"/>
                <w:szCs w:val="22"/>
              </w:rPr>
            </w:pPr>
            <w:r>
              <w:rPr>
                <w:rFonts w:hint="eastAsia" w:ascii="宋体" w:hAnsi="宋体"/>
                <w:b/>
                <w:bCs/>
                <w:color w:val="000000"/>
                <w:kern w:val="0"/>
                <w:sz w:val="22"/>
                <w:szCs w:val="22"/>
              </w:rPr>
              <w:t>合  计</w:t>
            </w:r>
          </w:p>
        </w:tc>
        <w:tc>
          <w:tcPr>
            <w:tcW w:w="181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3151.33</w:t>
            </w:r>
          </w:p>
        </w:tc>
        <w:tc>
          <w:tcPr>
            <w:tcW w:w="179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2524.63</w:t>
            </w:r>
          </w:p>
        </w:tc>
        <w:tc>
          <w:tcPr>
            <w:tcW w:w="184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626.7</w:t>
            </w:r>
            <w:r>
              <w:rPr>
                <w:rFonts w:ascii="仿宋_GB2312" w:hAnsi="宋体"/>
                <w:kern w:val="0"/>
                <w:sz w:val="18"/>
                <w:szCs w:val="18"/>
              </w:rPr>
              <w:t>0</w:t>
            </w:r>
          </w:p>
        </w:tc>
      </w:tr>
    </w:tbl>
    <w:p>
      <w:pPr>
        <w:widowControl/>
        <w:outlineLvl w:val="1"/>
        <w:rPr>
          <w:rFonts w:ascii="仿宋_GB2312" w:hAnsi="宋体"/>
          <w:b/>
          <w:bCs/>
          <w:kern w:val="0"/>
          <w:sz w:val="28"/>
          <w:szCs w:val="28"/>
        </w:rPr>
      </w:pPr>
      <w:r>
        <w:rPr>
          <w:rFonts w:ascii="仿宋_GB2312" w:hAnsi="宋体"/>
          <w:b/>
          <w:bCs/>
          <w:kern w:val="0"/>
          <w:sz w:val="28"/>
          <w:szCs w:val="28"/>
        </w:rPr>
        <w:t xml:space="preserve"> </w:t>
      </w:r>
    </w:p>
    <w:p>
      <w:pPr>
        <w:widowControl/>
        <w:outlineLvl w:val="1"/>
        <w:rPr>
          <w:rFonts w:ascii="仿宋_GB2312" w:hAnsi="宋体"/>
          <w:b/>
          <w:bCs/>
          <w:kern w:val="0"/>
          <w:sz w:val="32"/>
          <w:szCs w:val="32"/>
        </w:rPr>
      </w:pPr>
      <w:r>
        <w:rPr>
          <w:rFonts w:ascii="仿宋_GB2312" w:hAnsi="宋体"/>
          <w:b/>
          <w:bCs/>
          <w:kern w:val="0"/>
          <w:sz w:val="28"/>
          <w:szCs w:val="28"/>
        </w:rPr>
        <w:br w:type="page"/>
      </w:r>
      <w:r>
        <w:rPr>
          <w:rFonts w:ascii="仿宋_GB2312" w:hAnsi="仿宋_GB2312"/>
          <w:b/>
          <w:bCs/>
          <w:kern w:val="0"/>
          <w:sz w:val="32"/>
          <w:szCs w:val="32"/>
        </w:rPr>
        <w:t>表四：</w:t>
      </w:r>
    </w:p>
    <w:p>
      <w:pPr>
        <w:widowControl/>
        <w:spacing w:before="156" w:beforeLines="50" w:line="280" w:lineRule="exact"/>
        <w:jc w:val="center"/>
        <w:outlineLvl w:val="1"/>
        <w:rPr>
          <w:rFonts w:ascii="仿宋_GB2312" w:hAnsi="宋体"/>
          <w:b/>
          <w:bCs/>
          <w:kern w:val="0"/>
          <w:sz w:val="32"/>
          <w:szCs w:val="32"/>
        </w:rPr>
      </w:pPr>
      <w:r>
        <w:rPr>
          <w:rFonts w:ascii="仿宋_GB2312" w:hAnsi="仿宋_GB2312"/>
          <w:b/>
          <w:bCs/>
          <w:kern w:val="0"/>
          <w:sz w:val="32"/>
          <w:szCs w:val="32"/>
        </w:rPr>
        <w:t>财政拨款收支预算总体情况表</w:t>
      </w:r>
    </w:p>
    <w:p>
      <w:pPr>
        <w:widowControl/>
        <w:spacing w:line="280" w:lineRule="exact"/>
        <w:outlineLvl w:val="1"/>
        <w:rPr>
          <w:rFonts w:ascii="仿宋_GB2312" w:hAnsi="宋体" w:eastAsia="仿宋_GB2312"/>
          <w:kern w:val="0"/>
          <w:sz w:val="18"/>
          <w:szCs w:val="18"/>
        </w:rPr>
      </w:pPr>
      <w:r>
        <w:rPr>
          <w:rFonts w:hint="eastAsia" w:ascii="仿宋_GB2312" w:hAnsi="宋体" w:eastAsia="仿宋_GB2312"/>
          <w:kern w:val="0"/>
          <w:sz w:val="18"/>
          <w:szCs w:val="18"/>
        </w:rPr>
        <w:t>编制部门：伊州区人民医院                                                            单位：万元</w:t>
      </w:r>
    </w:p>
    <w:tbl>
      <w:tblPr>
        <w:tblStyle w:val="4"/>
        <w:tblW w:w="9959" w:type="dxa"/>
        <w:tblInd w:w="-240" w:type="dxa"/>
        <w:tblLayout w:type="fixed"/>
        <w:tblCellMar>
          <w:top w:w="0" w:type="dxa"/>
          <w:left w:w="108" w:type="dxa"/>
          <w:bottom w:w="0" w:type="dxa"/>
          <w:right w:w="108" w:type="dxa"/>
        </w:tblCellMar>
      </w:tblPr>
      <w:tblGrid>
        <w:gridCol w:w="2004"/>
        <w:gridCol w:w="1240"/>
        <w:gridCol w:w="2740"/>
        <w:gridCol w:w="900"/>
        <w:gridCol w:w="980"/>
        <w:gridCol w:w="1020"/>
        <w:gridCol w:w="1075"/>
      </w:tblGrid>
      <w:tr>
        <w:tblPrEx>
          <w:tblLayout w:type="fixed"/>
          <w:tblCellMar>
            <w:top w:w="0" w:type="dxa"/>
            <w:left w:w="108" w:type="dxa"/>
            <w:bottom w:w="0" w:type="dxa"/>
            <w:right w:w="108" w:type="dxa"/>
          </w:tblCellMar>
        </w:tblPrEx>
        <w:trPr>
          <w:trHeight w:val="295" w:hRule="atLeast"/>
        </w:trPr>
        <w:tc>
          <w:tcPr>
            <w:tcW w:w="3244" w:type="dxa"/>
            <w:gridSpan w:val="2"/>
            <w:tcBorders>
              <w:top w:val="single" w:color="auto" w:sz="4" w:space="0"/>
              <w:left w:val="single" w:color="auto" w:sz="4" w:space="0"/>
              <w:bottom w:val="single" w:color="auto" w:sz="4" w:space="0"/>
              <w:right w:val="single" w:color="000000" w:sz="4" w:space="0"/>
            </w:tcBorders>
            <w:noWrap/>
            <w:vAlign w:val="center"/>
          </w:tcPr>
          <w:p>
            <w:pPr>
              <w:widowControl/>
              <w:spacing w:line="280" w:lineRule="exact"/>
              <w:jc w:val="center"/>
              <w:rPr>
                <w:rFonts w:ascii="仿宋_GB2312" w:hAnsi="宋体"/>
                <w:b/>
                <w:bCs/>
                <w:kern w:val="0"/>
                <w:sz w:val="24"/>
                <w:szCs w:val="24"/>
              </w:rPr>
            </w:pPr>
            <w:r>
              <w:rPr>
                <w:rFonts w:ascii="仿宋_GB2312" w:hAnsi="宋体"/>
                <w:b/>
                <w:bCs/>
                <w:kern w:val="0"/>
                <w:sz w:val="24"/>
                <w:szCs w:val="24"/>
              </w:rPr>
              <w:t>财政拨款收入</w:t>
            </w:r>
          </w:p>
        </w:tc>
        <w:tc>
          <w:tcPr>
            <w:tcW w:w="5640" w:type="dxa"/>
            <w:gridSpan w:val="4"/>
            <w:tcBorders>
              <w:top w:val="single" w:color="auto" w:sz="4" w:space="0"/>
              <w:left w:val="nil"/>
              <w:bottom w:val="single" w:color="auto" w:sz="4" w:space="0"/>
              <w:right w:val="single" w:color="000000" w:sz="4" w:space="0"/>
            </w:tcBorders>
            <w:noWrap/>
            <w:vAlign w:val="center"/>
          </w:tcPr>
          <w:p>
            <w:pPr>
              <w:widowControl/>
              <w:spacing w:line="280" w:lineRule="exact"/>
              <w:jc w:val="center"/>
              <w:rPr>
                <w:rFonts w:ascii="仿宋_GB2312" w:hAnsi="宋体"/>
                <w:b/>
                <w:bCs/>
                <w:kern w:val="0"/>
                <w:sz w:val="24"/>
                <w:szCs w:val="24"/>
              </w:rPr>
            </w:pPr>
            <w:r>
              <w:rPr>
                <w:rFonts w:ascii="仿宋_GB2312" w:hAnsi="宋体"/>
                <w:b/>
                <w:bCs/>
                <w:kern w:val="0"/>
                <w:sz w:val="24"/>
                <w:szCs w:val="24"/>
              </w:rPr>
              <w:t>财政拨款支出</w:t>
            </w:r>
          </w:p>
        </w:tc>
        <w:tc>
          <w:tcPr>
            <w:tcW w:w="1075" w:type="dxa"/>
            <w:tcBorders>
              <w:top w:val="single" w:color="auto" w:sz="4" w:space="0"/>
              <w:left w:val="nil"/>
              <w:bottom w:val="single" w:color="auto" w:sz="4" w:space="0"/>
              <w:right w:val="single" w:color="000000" w:sz="4" w:space="0"/>
            </w:tcBorders>
            <w:noWrap/>
            <w:vAlign w:val="center"/>
          </w:tcPr>
          <w:p>
            <w:pPr>
              <w:widowControl/>
              <w:spacing w:line="280" w:lineRule="exact"/>
              <w:jc w:val="center"/>
              <w:rPr>
                <w:rFonts w:ascii="仿宋_GB2312" w:hAnsi="宋体"/>
                <w:b/>
                <w:bCs/>
                <w:kern w:val="0"/>
                <w:sz w:val="24"/>
                <w:szCs w:val="24"/>
              </w:rPr>
            </w:pPr>
          </w:p>
        </w:tc>
      </w:tr>
      <w:tr>
        <w:tblPrEx>
          <w:tblLayout w:type="fixed"/>
          <w:tblCellMar>
            <w:top w:w="0" w:type="dxa"/>
            <w:left w:w="108" w:type="dxa"/>
            <w:bottom w:w="0" w:type="dxa"/>
            <w:right w:w="108" w:type="dxa"/>
          </w:tblCellMar>
        </w:tblPrEx>
        <w:trPr>
          <w:trHeight w:val="569" w:hRule="atLeast"/>
        </w:trPr>
        <w:tc>
          <w:tcPr>
            <w:tcW w:w="20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b/>
                <w:bCs/>
                <w:kern w:val="0"/>
                <w:sz w:val="20"/>
                <w:szCs w:val="20"/>
              </w:rPr>
            </w:pPr>
            <w:r>
              <w:rPr>
                <w:rFonts w:ascii="仿宋_GB2312" w:hAnsi="宋体"/>
                <w:b/>
                <w:bCs/>
                <w:kern w:val="0"/>
                <w:sz w:val="20"/>
                <w:szCs w:val="20"/>
              </w:rPr>
              <w:t>项    目</w:t>
            </w:r>
          </w:p>
        </w:tc>
        <w:tc>
          <w:tcPr>
            <w:tcW w:w="124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b/>
                <w:bCs/>
                <w:kern w:val="0"/>
                <w:sz w:val="20"/>
                <w:szCs w:val="20"/>
              </w:rPr>
            </w:pPr>
            <w:r>
              <w:rPr>
                <w:rFonts w:ascii="仿宋_GB2312" w:hAnsi="宋体"/>
                <w:b/>
                <w:bCs/>
                <w:kern w:val="0"/>
                <w:sz w:val="20"/>
                <w:szCs w:val="20"/>
              </w:rPr>
              <w:t>合  计</w:t>
            </w:r>
          </w:p>
        </w:tc>
        <w:tc>
          <w:tcPr>
            <w:tcW w:w="274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b/>
                <w:bCs/>
                <w:kern w:val="0"/>
                <w:sz w:val="20"/>
                <w:szCs w:val="20"/>
              </w:rPr>
            </w:pPr>
            <w:r>
              <w:rPr>
                <w:rFonts w:ascii="仿宋_GB2312" w:hAnsi="宋体"/>
                <w:b/>
                <w:bCs/>
                <w:kern w:val="0"/>
                <w:sz w:val="20"/>
                <w:szCs w:val="20"/>
              </w:rPr>
              <w:t>功  能  分  类</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b/>
                <w:bCs/>
                <w:kern w:val="0"/>
                <w:sz w:val="20"/>
                <w:szCs w:val="20"/>
              </w:rPr>
            </w:pPr>
            <w:r>
              <w:rPr>
                <w:rFonts w:ascii="仿宋_GB2312" w:hAnsi="宋体"/>
                <w:b/>
                <w:bCs/>
                <w:kern w:val="0"/>
                <w:sz w:val="20"/>
                <w:szCs w:val="20"/>
              </w:rPr>
              <w:t>合 计</w:t>
            </w:r>
          </w:p>
        </w:tc>
        <w:tc>
          <w:tcPr>
            <w:tcW w:w="98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b/>
                <w:bCs/>
                <w:kern w:val="0"/>
                <w:sz w:val="20"/>
                <w:szCs w:val="20"/>
              </w:rPr>
            </w:pPr>
            <w:r>
              <w:rPr>
                <w:rFonts w:ascii="仿宋_GB2312" w:hAnsi="宋体"/>
                <w:b/>
                <w:bCs/>
                <w:kern w:val="0"/>
                <w:sz w:val="20"/>
                <w:szCs w:val="20"/>
              </w:rPr>
              <w:t>一般公共预算</w:t>
            </w:r>
          </w:p>
        </w:tc>
        <w:tc>
          <w:tcPr>
            <w:tcW w:w="102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b/>
                <w:bCs/>
                <w:kern w:val="0"/>
                <w:sz w:val="20"/>
                <w:szCs w:val="20"/>
              </w:rPr>
            </w:pPr>
            <w:r>
              <w:rPr>
                <w:rFonts w:ascii="仿宋_GB2312" w:hAnsi="宋体"/>
                <w:b/>
                <w:bCs/>
                <w:kern w:val="0"/>
                <w:sz w:val="20"/>
                <w:szCs w:val="20"/>
              </w:rPr>
              <w:t>政府性基金预算</w:t>
            </w:r>
          </w:p>
        </w:tc>
        <w:tc>
          <w:tcPr>
            <w:tcW w:w="107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b/>
                <w:bCs/>
                <w:kern w:val="0"/>
                <w:sz w:val="20"/>
                <w:szCs w:val="20"/>
              </w:rPr>
            </w:pPr>
            <w:r>
              <w:rPr>
                <w:rFonts w:hint="eastAsia" w:ascii="仿宋_GB2312" w:hAnsi="宋体"/>
                <w:b/>
                <w:bCs/>
                <w:kern w:val="0"/>
                <w:sz w:val="20"/>
                <w:szCs w:val="20"/>
              </w:rPr>
              <w:t>国有资本经营预算</w:t>
            </w:r>
          </w:p>
        </w:tc>
      </w:tr>
      <w:tr>
        <w:tblPrEx>
          <w:tblLayout w:type="fixed"/>
          <w:tblCellMar>
            <w:top w:w="0" w:type="dxa"/>
            <w:left w:w="108" w:type="dxa"/>
            <w:bottom w:w="0" w:type="dxa"/>
            <w:right w:w="108" w:type="dxa"/>
          </w:tblCellMar>
        </w:tblPrEx>
        <w:trPr>
          <w:trHeight w:val="604"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财政拨款（补助）</w:t>
            </w:r>
          </w:p>
        </w:tc>
        <w:tc>
          <w:tcPr>
            <w:tcW w:w="124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kern w:val="0"/>
                <w:sz w:val="18"/>
                <w:szCs w:val="18"/>
              </w:rPr>
            </w:pPr>
            <w:r>
              <w:rPr>
                <w:rFonts w:hint="eastAsia" w:ascii="仿宋_GB2312" w:hAnsi="宋体"/>
                <w:kern w:val="0"/>
                <w:sz w:val="18"/>
                <w:szCs w:val="18"/>
              </w:rPr>
              <w:t>3151.33</w:t>
            </w: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2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一般公共预算</w:t>
            </w:r>
          </w:p>
        </w:tc>
        <w:tc>
          <w:tcPr>
            <w:tcW w:w="124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kern w:val="0"/>
                <w:sz w:val="18"/>
                <w:szCs w:val="18"/>
              </w:rPr>
            </w:pPr>
            <w:r>
              <w:rPr>
                <w:rFonts w:hint="eastAsia" w:ascii="仿宋_GB2312" w:hAnsi="宋体"/>
                <w:kern w:val="0"/>
                <w:sz w:val="18"/>
                <w:szCs w:val="18"/>
              </w:rPr>
              <w:t>3140.63</w:t>
            </w: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2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政府性基金预算</w:t>
            </w:r>
          </w:p>
        </w:tc>
        <w:tc>
          <w:tcPr>
            <w:tcW w:w="1240"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81"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国有资本经营预算</w:t>
            </w: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290"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29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290"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2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290"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 xml:space="preserve">  </w:t>
            </w: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2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2762.11</w:t>
            </w: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2762.11</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290"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2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2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290"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2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215 资源勘探工业信息等支出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2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2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2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2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2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2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290"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 xml:space="preserve">  </w:t>
            </w: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2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290"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290"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22"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290"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290"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290"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 xml:space="preserve">  </w:t>
            </w:r>
          </w:p>
        </w:tc>
        <w:tc>
          <w:tcPr>
            <w:tcW w:w="124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234 抗疫特别国债还本支出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r>
        <w:tblPrEx>
          <w:tblLayout w:type="fixed"/>
          <w:tblCellMar>
            <w:top w:w="0" w:type="dxa"/>
            <w:left w:w="108" w:type="dxa"/>
            <w:bottom w:w="0" w:type="dxa"/>
            <w:right w:w="108" w:type="dxa"/>
          </w:tblCellMar>
        </w:tblPrEx>
        <w:trPr>
          <w:trHeight w:val="300" w:hRule="atLeast"/>
        </w:trPr>
        <w:tc>
          <w:tcPr>
            <w:tcW w:w="2004"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收  入  总  计</w:t>
            </w:r>
          </w:p>
        </w:tc>
        <w:tc>
          <w:tcPr>
            <w:tcW w:w="124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3151.33</w:t>
            </w:r>
          </w:p>
        </w:tc>
        <w:tc>
          <w:tcPr>
            <w:tcW w:w="274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kern w:val="0"/>
                <w:sz w:val="18"/>
                <w:szCs w:val="18"/>
              </w:rPr>
            </w:pPr>
            <w:r>
              <w:rPr>
                <w:rFonts w:hint="eastAsia" w:ascii="仿宋_GB2312" w:hAnsi="宋体" w:eastAsia="仿宋_GB2312"/>
                <w:kern w:val="0"/>
                <w:sz w:val="18"/>
                <w:szCs w:val="18"/>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3151.33</w:t>
            </w:r>
          </w:p>
        </w:tc>
        <w:tc>
          <w:tcPr>
            <w:tcW w:w="98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3140.63</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10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kern w:val="0"/>
                <w:sz w:val="18"/>
                <w:szCs w:val="18"/>
              </w:rPr>
            </w:pPr>
          </w:p>
        </w:tc>
      </w:tr>
    </w:tbl>
    <w:p>
      <w:pPr>
        <w:widowControl/>
        <w:outlineLvl w:val="1"/>
        <w:rPr>
          <w:rFonts w:ascii="仿宋_GB2312" w:hAnsi="宋体"/>
          <w:b/>
          <w:bCs/>
          <w:kern w:val="0"/>
          <w:sz w:val="32"/>
          <w:szCs w:val="32"/>
        </w:rPr>
      </w:pPr>
      <w:r>
        <w:rPr>
          <w:rFonts w:ascii="仿宋_GB2312" w:hAnsi="宋体"/>
          <w:b/>
          <w:bCs/>
          <w:kern w:val="0"/>
          <w:sz w:val="28"/>
          <w:szCs w:val="28"/>
        </w:rPr>
        <w:br w:type="page"/>
      </w:r>
      <w:r>
        <w:rPr>
          <w:rFonts w:ascii="仿宋_GB2312" w:hAnsi="仿宋_GB2312"/>
          <w:b/>
          <w:bCs/>
          <w:kern w:val="0"/>
          <w:sz w:val="32"/>
          <w:szCs w:val="32"/>
        </w:rPr>
        <w:t>表五：</w:t>
      </w:r>
    </w:p>
    <w:tbl>
      <w:tblPr>
        <w:tblStyle w:val="4"/>
        <w:tblW w:w="9248" w:type="dxa"/>
        <w:tblInd w:w="-34" w:type="dxa"/>
        <w:tblLayout w:type="fixed"/>
        <w:tblCellMar>
          <w:top w:w="0" w:type="dxa"/>
          <w:left w:w="108" w:type="dxa"/>
          <w:bottom w:w="0" w:type="dxa"/>
          <w:right w:w="108" w:type="dxa"/>
        </w:tblCellMar>
      </w:tblPr>
      <w:tblGrid>
        <w:gridCol w:w="568"/>
        <w:gridCol w:w="492"/>
        <w:gridCol w:w="451"/>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48" w:type="dxa"/>
            <w:gridSpan w:val="9"/>
            <w:tcBorders>
              <w:top w:val="nil"/>
              <w:left w:val="nil"/>
              <w:bottom w:val="nil"/>
              <w:right w:val="nil"/>
            </w:tcBorders>
            <w:noWrap/>
            <w:vAlign w:val="center"/>
          </w:tcPr>
          <w:p>
            <w:pPr>
              <w:widowControl/>
              <w:jc w:val="center"/>
              <w:rPr>
                <w:rFonts w:ascii="仿宋_GB2312" w:hAnsi="宋体"/>
                <w:b/>
                <w:bCs/>
                <w:color w:val="000000"/>
                <w:kern w:val="0"/>
                <w:sz w:val="32"/>
                <w:szCs w:val="32"/>
              </w:rPr>
            </w:pPr>
            <w:r>
              <w:rPr>
                <w:rFonts w:ascii="仿宋_GB2312" w:hAnsi="宋体"/>
                <w:b/>
                <w:bCs/>
                <w:color w:val="000000"/>
                <w:kern w:val="0"/>
                <w:sz w:val="32"/>
                <w:szCs w:val="32"/>
              </w:rPr>
              <w:t>一般公共预算支出情况表</w:t>
            </w:r>
          </w:p>
        </w:tc>
      </w:tr>
      <w:tr>
        <w:tblPrEx>
          <w:tblLayout w:type="fixed"/>
          <w:tblCellMar>
            <w:top w:w="0" w:type="dxa"/>
            <w:left w:w="108" w:type="dxa"/>
            <w:bottom w:w="0" w:type="dxa"/>
            <w:right w:w="108" w:type="dxa"/>
          </w:tblCellMar>
        </w:tblPrEx>
        <w:trPr>
          <w:trHeight w:val="285" w:hRule="atLeast"/>
        </w:trPr>
        <w:tc>
          <w:tcPr>
            <w:tcW w:w="4021" w:type="dxa"/>
            <w:gridSpan w:val="4"/>
            <w:tcBorders>
              <w:top w:val="nil"/>
              <w:left w:val="nil"/>
              <w:bottom w:val="nil"/>
              <w:right w:val="nil"/>
            </w:tcBorders>
            <w:noWrap/>
            <w:vAlign w:val="center"/>
          </w:tcPr>
          <w:p>
            <w:pPr>
              <w:widowControl/>
              <w:jc w:val="left"/>
              <w:rPr>
                <w:rFonts w:ascii="仿宋_GB2312" w:hAnsi="宋体"/>
                <w:color w:val="000000"/>
                <w:kern w:val="0"/>
                <w:sz w:val="24"/>
                <w:szCs w:val="24"/>
              </w:rPr>
            </w:pPr>
            <w:r>
              <w:rPr>
                <w:rFonts w:hint="eastAsia" w:ascii="仿宋_GB2312" w:hAnsi="宋体" w:eastAsia="仿宋_GB2312"/>
                <w:kern w:val="0"/>
                <w:sz w:val="18"/>
                <w:szCs w:val="18"/>
              </w:rPr>
              <w:t>编制部门：伊州区人民医院</w:t>
            </w:r>
          </w:p>
        </w:tc>
        <w:tc>
          <w:tcPr>
            <w:tcW w:w="660" w:type="dxa"/>
            <w:tcBorders>
              <w:top w:val="nil"/>
              <w:left w:val="nil"/>
              <w:bottom w:val="nil"/>
              <w:right w:val="nil"/>
            </w:tcBorders>
            <w:noWrap/>
            <w:vAlign w:val="center"/>
          </w:tcPr>
          <w:p>
            <w:pPr>
              <w:widowControl/>
              <w:jc w:val="left"/>
              <w:rPr>
                <w:rFonts w:ascii="仿宋_GB2312" w:hAnsi="宋体"/>
                <w:color w:val="000000"/>
                <w:kern w:val="0"/>
                <w:sz w:val="24"/>
                <w:szCs w:val="24"/>
              </w:rPr>
            </w:pPr>
          </w:p>
        </w:tc>
        <w:tc>
          <w:tcPr>
            <w:tcW w:w="1240" w:type="dxa"/>
            <w:gridSpan w:val="2"/>
            <w:tcBorders>
              <w:top w:val="nil"/>
              <w:left w:val="nil"/>
              <w:bottom w:val="nil"/>
              <w:right w:val="nil"/>
            </w:tcBorders>
            <w:noWrap/>
            <w:vAlign w:val="center"/>
          </w:tcPr>
          <w:p>
            <w:pPr>
              <w:widowControl/>
              <w:jc w:val="left"/>
              <w:rPr>
                <w:rFonts w:ascii="仿宋_GB2312" w:hAnsi="宋体"/>
                <w:color w:val="000000"/>
                <w:kern w:val="0"/>
                <w:sz w:val="24"/>
                <w:szCs w:val="24"/>
              </w:rPr>
            </w:pPr>
            <w:r>
              <w:rPr>
                <w:rFonts w:ascii="仿宋_GB2312" w:hAnsi="宋体"/>
                <w:color w:val="000000"/>
                <w:kern w:val="0"/>
                <w:sz w:val="24"/>
                <w:szCs w:val="24"/>
              </w:rPr>
              <w:t xml:space="preserve">  </w:t>
            </w:r>
          </w:p>
        </w:tc>
        <w:tc>
          <w:tcPr>
            <w:tcW w:w="3327" w:type="dxa"/>
            <w:gridSpan w:val="2"/>
            <w:tcBorders>
              <w:top w:val="nil"/>
              <w:left w:val="nil"/>
              <w:bottom w:val="nil"/>
              <w:right w:val="nil"/>
            </w:tcBorders>
            <w:noWrap/>
            <w:vAlign w:val="center"/>
          </w:tcPr>
          <w:p>
            <w:pPr>
              <w:widowControl/>
              <w:jc w:val="right"/>
              <w:rPr>
                <w:rFonts w:ascii="仿宋_GB2312" w:hAnsi="宋体"/>
                <w:color w:val="000000"/>
                <w:kern w:val="0"/>
                <w:sz w:val="24"/>
                <w:szCs w:val="24"/>
              </w:rPr>
            </w:pPr>
            <w:r>
              <w:rPr>
                <w:rFonts w:hint="eastAsia" w:ascii="仿宋_GB2312" w:hAnsi="宋体" w:eastAsia="仿宋_GB2312"/>
                <w:kern w:val="0"/>
                <w:sz w:val="18"/>
                <w:szCs w:val="18"/>
              </w:rPr>
              <w:t>单位：万元</w:t>
            </w:r>
          </w:p>
        </w:tc>
      </w:tr>
      <w:tr>
        <w:tblPrEx>
          <w:tblLayout w:type="fixed"/>
          <w:tblCellMar>
            <w:top w:w="0" w:type="dxa"/>
            <w:left w:w="108" w:type="dxa"/>
            <w:bottom w:w="0" w:type="dxa"/>
            <w:right w:w="108" w:type="dxa"/>
          </w:tblCellMar>
        </w:tblPrEx>
        <w:trPr>
          <w:trHeight w:val="405" w:hRule="atLeast"/>
        </w:trPr>
        <w:tc>
          <w:tcPr>
            <w:tcW w:w="4021"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b/>
                <w:bCs/>
                <w:color w:val="000000"/>
                <w:kern w:val="0"/>
                <w:sz w:val="22"/>
                <w:szCs w:val="22"/>
              </w:rPr>
            </w:pPr>
            <w:r>
              <w:rPr>
                <w:rFonts w:ascii="仿宋_GB2312" w:hAnsi="宋体"/>
                <w:b/>
                <w:bCs/>
                <w:color w:val="000000"/>
                <w:kern w:val="0"/>
                <w:sz w:val="22"/>
                <w:szCs w:val="22"/>
              </w:rPr>
              <w:t>项   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b/>
                <w:bCs/>
                <w:color w:val="000000"/>
                <w:kern w:val="0"/>
                <w:sz w:val="22"/>
                <w:szCs w:val="22"/>
              </w:rPr>
            </w:pPr>
            <w:r>
              <w:rPr>
                <w:rFonts w:ascii="仿宋_GB2312" w:hAnsi="宋体"/>
                <w:b/>
                <w:bCs/>
                <w:color w:val="000000"/>
                <w:kern w:val="0"/>
                <w:sz w:val="22"/>
                <w:szCs w:val="22"/>
              </w:rPr>
              <w:t>一般公共预算支出</w:t>
            </w:r>
          </w:p>
        </w:tc>
      </w:tr>
      <w:tr>
        <w:tblPrEx>
          <w:tblLayout w:type="fixed"/>
          <w:tblCellMar>
            <w:top w:w="0" w:type="dxa"/>
            <w:left w:w="108" w:type="dxa"/>
            <w:bottom w:w="0" w:type="dxa"/>
            <w:right w:w="108" w:type="dxa"/>
          </w:tblCellMar>
        </w:tblPrEx>
        <w:trPr>
          <w:trHeight w:val="465" w:hRule="atLeast"/>
        </w:trPr>
        <w:tc>
          <w:tcPr>
            <w:tcW w:w="1511"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b/>
                <w:bCs/>
                <w:color w:val="000000"/>
                <w:kern w:val="0"/>
                <w:sz w:val="20"/>
                <w:szCs w:val="20"/>
              </w:rPr>
            </w:pPr>
            <w:r>
              <w:rPr>
                <w:rFonts w:ascii="仿宋_GB2312" w:hAnsi="宋体"/>
                <w:b/>
                <w:bCs/>
                <w:color w:val="000000"/>
                <w:kern w:val="0"/>
                <w:sz w:val="20"/>
                <w:szCs w:val="20"/>
              </w:rPr>
              <w:t>功能分类科目编码</w:t>
            </w:r>
          </w:p>
        </w:tc>
        <w:tc>
          <w:tcPr>
            <w:tcW w:w="2510" w:type="dxa"/>
            <w:vMerge w:val="restart"/>
            <w:tcBorders>
              <w:top w:val="nil"/>
              <w:left w:val="nil"/>
              <w:bottom w:val="single" w:color="000000" w:sz="4" w:space="0"/>
              <w:right w:val="single" w:color="auto" w:sz="4" w:space="0"/>
            </w:tcBorders>
            <w:vAlign w:val="center"/>
          </w:tcPr>
          <w:p>
            <w:pPr>
              <w:widowControl/>
              <w:jc w:val="center"/>
              <w:rPr>
                <w:rFonts w:ascii="仿宋_GB2312" w:hAnsi="宋体"/>
                <w:b/>
                <w:bCs/>
                <w:color w:val="000000"/>
                <w:kern w:val="0"/>
                <w:sz w:val="20"/>
                <w:szCs w:val="20"/>
              </w:rPr>
            </w:pPr>
            <w:r>
              <w:rPr>
                <w:rFonts w:ascii="仿宋_GB2312" w:hAnsi="宋体"/>
                <w:b/>
                <w:bCs/>
                <w:color w:val="000000"/>
                <w:kern w:val="0"/>
                <w:sz w:val="20"/>
                <w:szCs w:val="20"/>
              </w:rPr>
              <w:t>功能分类科目名称</w:t>
            </w:r>
          </w:p>
        </w:tc>
        <w:tc>
          <w:tcPr>
            <w:tcW w:w="1684" w:type="dxa"/>
            <w:gridSpan w:val="2"/>
            <w:vMerge w:val="restart"/>
            <w:tcBorders>
              <w:top w:val="nil"/>
              <w:left w:val="nil"/>
              <w:bottom w:val="single" w:color="000000" w:sz="4" w:space="0"/>
              <w:right w:val="single" w:color="auto" w:sz="4" w:space="0"/>
            </w:tcBorders>
            <w:vAlign w:val="center"/>
          </w:tcPr>
          <w:p>
            <w:pPr>
              <w:widowControl/>
              <w:jc w:val="center"/>
              <w:rPr>
                <w:rFonts w:ascii="仿宋_GB2312" w:hAnsi="宋体"/>
                <w:b/>
                <w:bCs/>
                <w:color w:val="000000"/>
                <w:kern w:val="0"/>
                <w:sz w:val="20"/>
                <w:szCs w:val="20"/>
              </w:rPr>
            </w:pPr>
            <w:r>
              <w:rPr>
                <w:rFonts w:ascii="仿宋_GB2312" w:hAnsi="宋体"/>
                <w:b/>
                <w:bCs/>
                <w:color w:val="000000"/>
                <w:kern w:val="0"/>
                <w:sz w:val="20"/>
                <w:szCs w:val="20"/>
              </w:rPr>
              <w:t>合  计</w:t>
            </w:r>
          </w:p>
        </w:tc>
        <w:tc>
          <w:tcPr>
            <w:tcW w:w="1842" w:type="dxa"/>
            <w:gridSpan w:val="2"/>
            <w:vMerge w:val="restart"/>
            <w:tcBorders>
              <w:top w:val="nil"/>
              <w:left w:val="nil"/>
              <w:bottom w:val="single" w:color="000000" w:sz="4" w:space="0"/>
              <w:right w:val="single" w:color="auto" w:sz="4" w:space="0"/>
            </w:tcBorders>
            <w:vAlign w:val="center"/>
          </w:tcPr>
          <w:p>
            <w:pPr>
              <w:widowControl/>
              <w:jc w:val="center"/>
              <w:rPr>
                <w:rFonts w:ascii="仿宋_GB2312" w:hAnsi="宋体"/>
                <w:b/>
                <w:bCs/>
                <w:color w:val="000000"/>
                <w:kern w:val="0"/>
                <w:sz w:val="20"/>
                <w:szCs w:val="20"/>
              </w:rPr>
            </w:pPr>
            <w:r>
              <w:rPr>
                <w:rFonts w:ascii="仿宋_GB2312" w:hAnsi="宋体"/>
                <w:b/>
                <w:bCs/>
                <w:color w:val="000000"/>
                <w:kern w:val="0"/>
                <w:sz w:val="20"/>
                <w:szCs w:val="20"/>
              </w:rPr>
              <w:t>基本支出</w:t>
            </w:r>
          </w:p>
        </w:tc>
        <w:tc>
          <w:tcPr>
            <w:tcW w:w="1701" w:type="dxa"/>
            <w:vMerge w:val="restart"/>
            <w:tcBorders>
              <w:top w:val="nil"/>
              <w:left w:val="nil"/>
              <w:bottom w:val="single" w:color="000000" w:sz="4" w:space="0"/>
              <w:right w:val="single" w:color="auto" w:sz="4" w:space="0"/>
            </w:tcBorders>
            <w:vAlign w:val="center"/>
          </w:tcPr>
          <w:p>
            <w:pPr>
              <w:widowControl/>
              <w:jc w:val="center"/>
              <w:rPr>
                <w:rFonts w:ascii="仿宋_GB2312" w:hAnsi="宋体"/>
                <w:b/>
                <w:bCs/>
                <w:color w:val="000000"/>
                <w:kern w:val="0"/>
                <w:sz w:val="20"/>
                <w:szCs w:val="20"/>
              </w:rPr>
            </w:pPr>
            <w:r>
              <w:rPr>
                <w:rFonts w:ascii="仿宋_GB2312" w:hAnsi="宋体"/>
                <w:b/>
                <w:bCs/>
                <w:color w:val="000000"/>
                <w:kern w:val="0"/>
                <w:sz w:val="20"/>
                <w:szCs w:val="20"/>
              </w:rPr>
              <w:t>项目支出</w:t>
            </w:r>
          </w:p>
        </w:tc>
      </w:tr>
      <w:tr>
        <w:tblPrEx>
          <w:tblLayout w:type="fixed"/>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仿宋_GB2312" w:hAnsi="宋体"/>
                <w:b/>
                <w:bCs/>
                <w:color w:val="000000"/>
                <w:kern w:val="0"/>
                <w:sz w:val="20"/>
                <w:szCs w:val="20"/>
              </w:rPr>
            </w:pPr>
            <w:r>
              <w:rPr>
                <w:rFonts w:ascii="仿宋_GB2312" w:hAnsi="宋体"/>
                <w:b/>
                <w:bCs/>
                <w:color w:val="000000"/>
                <w:kern w:val="0"/>
                <w:sz w:val="20"/>
                <w:szCs w:val="20"/>
              </w:rPr>
              <w:t>类</w:t>
            </w:r>
          </w:p>
        </w:tc>
        <w:tc>
          <w:tcPr>
            <w:tcW w:w="492" w:type="dxa"/>
            <w:tcBorders>
              <w:top w:val="nil"/>
              <w:left w:val="nil"/>
              <w:bottom w:val="single" w:color="auto" w:sz="4" w:space="0"/>
              <w:right w:val="single" w:color="auto" w:sz="4" w:space="0"/>
            </w:tcBorders>
            <w:vAlign w:val="center"/>
          </w:tcPr>
          <w:p>
            <w:pPr>
              <w:widowControl/>
              <w:jc w:val="left"/>
              <w:rPr>
                <w:rFonts w:ascii="仿宋_GB2312" w:hAnsi="宋体"/>
                <w:b/>
                <w:bCs/>
                <w:color w:val="000000"/>
                <w:kern w:val="0"/>
                <w:sz w:val="20"/>
                <w:szCs w:val="20"/>
              </w:rPr>
            </w:pPr>
            <w:r>
              <w:rPr>
                <w:rFonts w:ascii="仿宋_GB2312" w:hAnsi="宋体"/>
                <w:b/>
                <w:bCs/>
                <w:color w:val="000000"/>
                <w:kern w:val="0"/>
                <w:sz w:val="20"/>
                <w:szCs w:val="20"/>
              </w:rPr>
              <w:t>款</w:t>
            </w:r>
          </w:p>
        </w:tc>
        <w:tc>
          <w:tcPr>
            <w:tcW w:w="451" w:type="dxa"/>
            <w:tcBorders>
              <w:top w:val="nil"/>
              <w:left w:val="nil"/>
              <w:bottom w:val="single" w:color="auto" w:sz="4" w:space="0"/>
              <w:right w:val="single" w:color="auto" w:sz="4" w:space="0"/>
            </w:tcBorders>
            <w:vAlign w:val="center"/>
          </w:tcPr>
          <w:p>
            <w:pPr>
              <w:widowControl/>
              <w:jc w:val="left"/>
              <w:rPr>
                <w:rFonts w:ascii="仿宋_GB2312" w:hAnsi="宋体"/>
                <w:b/>
                <w:bCs/>
                <w:color w:val="000000"/>
                <w:kern w:val="0"/>
                <w:sz w:val="20"/>
                <w:szCs w:val="20"/>
              </w:rPr>
            </w:pPr>
            <w:r>
              <w:rPr>
                <w:rFonts w:ascii="仿宋_GB2312" w:hAnsi="宋体"/>
                <w:b/>
                <w:bCs/>
                <w:color w:val="000000"/>
                <w:kern w:val="0"/>
                <w:sz w:val="20"/>
                <w:szCs w:val="20"/>
              </w:rPr>
              <w:t>项</w:t>
            </w:r>
          </w:p>
        </w:tc>
        <w:tc>
          <w:tcPr>
            <w:tcW w:w="2510" w:type="dxa"/>
            <w:vMerge w:val="continue"/>
            <w:tcBorders>
              <w:top w:val="nil"/>
              <w:left w:val="nil"/>
              <w:bottom w:val="single" w:color="000000" w:sz="4" w:space="0"/>
              <w:right w:val="single" w:color="auto" w:sz="4" w:space="0"/>
            </w:tcBorders>
            <w:vAlign w:val="center"/>
          </w:tcPr>
          <w:p>
            <w:pPr>
              <w:widowControl/>
              <w:jc w:val="left"/>
              <w:rPr>
                <w:rFonts w:ascii="仿宋_GB2312" w:hAnsi="宋体"/>
                <w:b/>
                <w:bCs/>
                <w:color w:val="000000"/>
                <w:kern w:val="0"/>
                <w:sz w:val="20"/>
                <w:szCs w:val="20"/>
              </w:rPr>
            </w:pPr>
          </w:p>
        </w:tc>
        <w:tc>
          <w:tcPr>
            <w:tcW w:w="1684" w:type="dxa"/>
            <w:gridSpan w:val="2"/>
            <w:vMerge w:val="continue"/>
            <w:tcBorders>
              <w:top w:val="nil"/>
              <w:left w:val="nil"/>
              <w:bottom w:val="single" w:color="000000" w:sz="4" w:space="0"/>
              <w:right w:val="single" w:color="auto" w:sz="4" w:space="0"/>
            </w:tcBorders>
            <w:vAlign w:val="center"/>
          </w:tcPr>
          <w:p>
            <w:pPr>
              <w:widowControl/>
              <w:jc w:val="left"/>
              <w:rPr>
                <w:rFonts w:ascii="仿宋_GB2312" w:hAnsi="宋体"/>
                <w:b/>
                <w:bCs/>
                <w:color w:val="000000"/>
                <w:kern w:val="0"/>
                <w:sz w:val="20"/>
                <w:szCs w:val="20"/>
              </w:rPr>
            </w:pPr>
          </w:p>
        </w:tc>
        <w:tc>
          <w:tcPr>
            <w:tcW w:w="1842" w:type="dxa"/>
            <w:gridSpan w:val="2"/>
            <w:vMerge w:val="continue"/>
            <w:tcBorders>
              <w:top w:val="nil"/>
              <w:left w:val="nil"/>
              <w:bottom w:val="single" w:color="000000" w:sz="4" w:space="0"/>
              <w:right w:val="single" w:color="auto" w:sz="4" w:space="0"/>
            </w:tcBorders>
            <w:vAlign w:val="center"/>
          </w:tcPr>
          <w:p>
            <w:pPr>
              <w:widowControl/>
              <w:jc w:val="left"/>
              <w:rPr>
                <w:rFonts w:ascii="仿宋_GB2312" w:hAnsi="宋体"/>
                <w:b/>
                <w:bCs/>
                <w:color w:val="000000"/>
                <w:kern w:val="0"/>
                <w:sz w:val="20"/>
                <w:szCs w:val="20"/>
              </w:rPr>
            </w:pPr>
          </w:p>
        </w:tc>
        <w:tc>
          <w:tcPr>
            <w:tcW w:w="1701" w:type="dxa"/>
            <w:vMerge w:val="continue"/>
            <w:tcBorders>
              <w:top w:val="nil"/>
              <w:left w:val="nil"/>
              <w:bottom w:val="single" w:color="000000" w:sz="4" w:space="0"/>
              <w:right w:val="single" w:color="auto" w:sz="4" w:space="0"/>
            </w:tcBorders>
            <w:vAlign w:val="center"/>
          </w:tcPr>
          <w:p>
            <w:pPr>
              <w:widowControl/>
              <w:jc w:val="left"/>
              <w:rPr>
                <w:rFonts w:ascii="仿宋_GB2312" w:hAnsi="宋体"/>
                <w:b/>
                <w:bCs/>
                <w:color w:val="000000"/>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210</w:t>
            </w:r>
          </w:p>
        </w:tc>
        <w:tc>
          <w:tcPr>
            <w:tcW w:w="492"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51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医疗卫生与</w:t>
            </w:r>
            <w:r>
              <w:rPr>
                <w:rFonts w:hint="eastAsia" w:ascii="仿宋_GB2312" w:hAnsi="宋体"/>
                <w:color w:val="000000"/>
                <w:sz w:val="20"/>
                <w:szCs w:val="20"/>
                <w:lang w:eastAsia="zh-CN"/>
              </w:rPr>
              <w:t>*</w:t>
            </w:r>
            <w:r>
              <w:rPr>
                <w:rFonts w:hint="eastAsia" w:ascii="仿宋_GB2312" w:hAnsi="宋体"/>
                <w:color w:val="000000"/>
                <w:sz w:val="20"/>
                <w:szCs w:val="20"/>
              </w:rPr>
              <w:t>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2146.11</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2146.11</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210</w:t>
            </w:r>
          </w:p>
        </w:tc>
        <w:tc>
          <w:tcPr>
            <w:tcW w:w="492"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02</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01</w:t>
            </w:r>
          </w:p>
        </w:tc>
        <w:tc>
          <w:tcPr>
            <w:tcW w:w="251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公立医院</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2146.11</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2146.11</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210</w:t>
            </w:r>
          </w:p>
        </w:tc>
        <w:tc>
          <w:tcPr>
            <w:tcW w:w="492"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02</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01</w:t>
            </w:r>
          </w:p>
        </w:tc>
        <w:tc>
          <w:tcPr>
            <w:tcW w:w="251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综合医院</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2146.11</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2146.11</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210</w:t>
            </w:r>
          </w:p>
        </w:tc>
        <w:tc>
          <w:tcPr>
            <w:tcW w:w="492"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04</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51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公共卫生</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616</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616</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210</w:t>
            </w:r>
          </w:p>
        </w:tc>
        <w:tc>
          <w:tcPr>
            <w:tcW w:w="492"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04</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10</w:t>
            </w:r>
          </w:p>
        </w:tc>
        <w:tc>
          <w:tcPr>
            <w:tcW w:w="251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宋体" w:hAnsi="宋体"/>
                <w:color w:val="000000"/>
                <w:kern w:val="0"/>
                <w:sz w:val="20"/>
                <w:szCs w:val="20"/>
              </w:rPr>
              <w:t>突发公共卫生事件应急处理</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616</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616</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208</w:t>
            </w:r>
          </w:p>
        </w:tc>
        <w:tc>
          <w:tcPr>
            <w:tcW w:w="492"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51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社会保障和就业支出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208</w:t>
            </w:r>
          </w:p>
        </w:tc>
        <w:tc>
          <w:tcPr>
            <w:tcW w:w="492"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05</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51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行政事业单位离退休</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208</w:t>
            </w:r>
          </w:p>
        </w:tc>
        <w:tc>
          <w:tcPr>
            <w:tcW w:w="492"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05</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05</w:t>
            </w:r>
          </w:p>
        </w:tc>
        <w:tc>
          <w:tcPr>
            <w:tcW w:w="251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机关事业单位基本养老保险缴费支出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237.63</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221</w:t>
            </w:r>
          </w:p>
        </w:tc>
        <w:tc>
          <w:tcPr>
            <w:tcW w:w="492"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51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住房保障支出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221</w:t>
            </w:r>
          </w:p>
        </w:tc>
        <w:tc>
          <w:tcPr>
            <w:tcW w:w="492"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02</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51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住房改革支出</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221</w:t>
            </w:r>
          </w:p>
        </w:tc>
        <w:tc>
          <w:tcPr>
            <w:tcW w:w="492"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02</w:t>
            </w: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01</w:t>
            </w:r>
          </w:p>
        </w:tc>
        <w:tc>
          <w:tcPr>
            <w:tcW w:w="251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r>
              <w:rPr>
                <w:rFonts w:hint="eastAsia" w:ascii="仿宋_GB2312" w:hAnsi="宋体"/>
                <w:color w:val="000000"/>
                <w:sz w:val="20"/>
                <w:szCs w:val="20"/>
              </w:rPr>
              <w:t>住房公积金</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p>
        </w:tc>
        <w:tc>
          <w:tcPr>
            <w:tcW w:w="492"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51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p>
        </w:tc>
        <w:tc>
          <w:tcPr>
            <w:tcW w:w="492"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51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left"/>
              <w:rPr>
                <w:rFonts w:ascii="仿宋_GB2312" w:hAnsi="宋体"/>
                <w:color w:val="000000"/>
                <w:sz w:val="20"/>
                <w:szCs w:val="20"/>
              </w:rPr>
            </w:pPr>
          </w:p>
        </w:tc>
        <w:tc>
          <w:tcPr>
            <w:tcW w:w="492"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451"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2510" w:type="dxa"/>
            <w:tcBorders>
              <w:top w:val="nil"/>
              <w:left w:val="nil"/>
              <w:bottom w:val="single" w:color="auto" w:sz="4" w:space="0"/>
              <w:right w:val="single" w:color="auto" w:sz="4" w:space="0"/>
            </w:tcBorders>
            <w:vAlign w:val="center"/>
          </w:tcPr>
          <w:p>
            <w:pPr>
              <w:jc w:val="left"/>
              <w:rPr>
                <w:rFonts w:ascii="仿宋_GB2312" w:hAnsi="宋体"/>
                <w:color w:val="000000"/>
                <w:sz w:val="20"/>
                <w:szCs w:val="20"/>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仿宋_GB2312" w:hAnsi="宋体"/>
                <w:b/>
                <w:bCs/>
                <w:color w:val="000000"/>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451"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20"/>
                <w:szCs w:val="20"/>
              </w:rPr>
            </w:pPr>
            <w:r>
              <w:rPr>
                <w:rFonts w:hint="eastAsia" w:ascii="宋体" w:hAnsi="宋体"/>
                <w:b/>
                <w:bCs/>
                <w:color w:val="000000"/>
                <w:kern w:val="0"/>
                <w:sz w:val="20"/>
                <w:szCs w:val="20"/>
              </w:rPr>
              <w:t>合  计</w:t>
            </w:r>
          </w:p>
        </w:tc>
        <w:tc>
          <w:tcPr>
            <w:tcW w:w="1684"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3140.63</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2524.63</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616</w:t>
            </w:r>
          </w:p>
        </w:tc>
      </w:tr>
    </w:tbl>
    <w:p>
      <w:pPr>
        <w:widowControl/>
        <w:outlineLvl w:val="1"/>
        <w:rPr>
          <w:rFonts w:ascii="仿宋_GB2312" w:hAnsi="宋体"/>
          <w:b/>
          <w:bCs/>
          <w:kern w:val="0"/>
          <w:sz w:val="32"/>
          <w:szCs w:val="32"/>
        </w:rPr>
      </w:pPr>
      <w:r>
        <w:rPr>
          <w:rFonts w:ascii="仿宋_GB2312" w:hAnsi="宋体"/>
          <w:b/>
          <w:bCs/>
          <w:kern w:val="0"/>
          <w:sz w:val="28"/>
          <w:szCs w:val="28"/>
        </w:rPr>
        <w:br w:type="page"/>
      </w:r>
      <w:r>
        <w:rPr>
          <w:rFonts w:ascii="仿宋_GB2312" w:hAnsi="仿宋_GB2312"/>
          <w:b/>
          <w:bCs/>
          <w:kern w:val="0"/>
          <w:sz w:val="32"/>
          <w:szCs w:val="32"/>
        </w:rPr>
        <w:t>表六：</w:t>
      </w:r>
    </w:p>
    <w:tbl>
      <w:tblPr>
        <w:tblStyle w:val="4"/>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ign w:val="center"/>
          </w:tcPr>
          <w:p>
            <w:pPr>
              <w:widowControl/>
              <w:jc w:val="center"/>
              <w:rPr>
                <w:rFonts w:ascii="仿宋_GB2312" w:hAnsi="宋体"/>
                <w:b/>
                <w:bCs/>
                <w:color w:val="000000"/>
                <w:kern w:val="0"/>
                <w:sz w:val="32"/>
                <w:szCs w:val="32"/>
              </w:rPr>
            </w:pPr>
            <w:r>
              <w:rPr>
                <w:rFonts w:ascii="仿宋_GB2312" w:hAnsi="宋体"/>
                <w:b/>
                <w:bCs/>
                <w:color w:val="000000"/>
                <w:kern w:val="0"/>
                <w:sz w:val="32"/>
                <w:szCs w:val="32"/>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ign w:val="center"/>
          </w:tcPr>
          <w:p>
            <w:pPr>
              <w:widowControl/>
              <w:jc w:val="left"/>
              <w:rPr>
                <w:rFonts w:ascii="仿宋_GB2312" w:hAnsi="宋体"/>
                <w:color w:val="000000"/>
                <w:kern w:val="0"/>
                <w:sz w:val="24"/>
                <w:szCs w:val="24"/>
              </w:rPr>
            </w:pPr>
            <w:r>
              <w:rPr>
                <w:rFonts w:hint="eastAsia" w:ascii="仿宋_GB2312" w:hAnsi="宋体" w:eastAsia="仿宋_GB2312"/>
                <w:kern w:val="0"/>
                <w:sz w:val="18"/>
                <w:szCs w:val="18"/>
              </w:rPr>
              <w:t>编制部门：伊州区人民医院</w:t>
            </w:r>
          </w:p>
        </w:tc>
        <w:tc>
          <w:tcPr>
            <w:tcW w:w="995" w:type="dxa"/>
            <w:tcBorders>
              <w:top w:val="nil"/>
              <w:left w:val="nil"/>
              <w:bottom w:val="nil"/>
              <w:right w:val="nil"/>
            </w:tcBorders>
            <w:noWrap/>
            <w:vAlign w:val="center"/>
          </w:tcPr>
          <w:p>
            <w:pPr>
              <w:widowControl/>
              <w:jc w:val="left"/>
              <w:rPr>
                <w:rFonts w:ascii="仿宋_GB2312" w:hAnsi="宋体"/>
                <w:color w:val="000000"/>
                <w:kern w:val="0"/>
                <w:sz w:val="24"/>
                <w:szCs w:val="24"/>
              </w:rPr>
            </w:pPr>
          </w:p>
        </w:tc>
        <w:tc>
          <w:tcPr>
            <w:tcW w:w="1682" w:type="dxa"/>
            <w:gridSpan w:val="2"/>
            <w:tcBorders>
              <w:top w:val="nil"/>
              <w:left w:val="nil"/>
              <w:bottom w:val="nil"/>
              <w:right w:val="nil"/>
            </w:tcBorders>
            <w:noWrap/>
            <w:vAlign w:val="center"/>
          </w:tcPr>
          <w:p>
            <w:pPr>
              <w:widowControl/>
              <w:jc w:val="left"/>
              <w:rPr>
                <w:rFonts w:ascii="仿宋_GB2312" w:hAnsi="宋体"/>
                <w:color w:val="000000"/>
                <w:kern w:val="0"/>
                <w:sz w:val="24"/>
                <w:szCs w:val="24"/>
              </w:rPr>
            </w:pPr>
            <w:r>
              <w:rPr>
                <w:rFonts w:ascii="仿宋_GB2312" w:hAnsi="宋体"/>
                <w:color w:val="000000"/>
                <w:kern w:val="0"/>
                <w:sz w:val="24"/>
                <w:szCs w:val="24"/>
              </w:rPr>
              <w:t xml:space="preserve">          </w:t>
            </w:r>
          </w:p>
        </w:tc>
        <w:tc>
          <w:tcPr>
            <w:tcW w:w="2426" w:type="dxa"/>
            <w:gridSpan w:val="2"/>
            <w:tcBorders>
              <w:top w:val="nil"/>
              <w:left w:val="nil"/>
              <w:bottom w:val="nil"/>
              <w:right w:val="nil"/>
            </w:tcBorders>
            <w:noWrap/>
            <w:vAlign w:val="center"/>
          </w:tcPr>
          <w:p>
            <w:pPr>
              <w:widowControl/>
              <w:ind w:firstLine="540" w:firstLineChars="300"/>
              <w:rPr>
                <w:rFonts w:ascii="仿宋_GB2312" w:hAnsi="宋体"/>
                <w:color w:val="000000"/>
                <w:kern w:val="0"/>
                <w:sz w:val="24"/>
                <w:szCs w:val="24"/>
              </w:rPr>
            </w:pPr>
            <w:r>
              <w:rPr>
                <w:rFonts w:hint="eastAsia" w:ascii="仿宋_GB2312" w:hAnsi="宋体" w:eastAsia="仿宋_GB2312"/>
                <w:kern w:val="0"/>
                <w:sz w:val="18"/>
                <w:szCs w:val="18"/>
              </w:rPr>
              <w:t>单位：万元</w:t>
            </w:r>
          </w:p>
        </w:tc>
      </w:tr>
      <w:tr>
        <w:tblPrEx>
          <w:tblLayout w:type="fixed"/>
          <w:tblCellMar>
            <w:top w:w="0" w:type="dxa"/>
            <w:left w:w="108" w:type="dxa"/>
            <w:bottom w:w="0" w:type="dxa"/>
            <w:right w:w="108" w:type="dxa"/>
          </w:tblCellMar>
        </w:tblPrEx>
        <w:trPr>
          <w:trHeight w:val="390"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b/>
                <w:bCs/>
                <w:color w:val="000000"/>
                <w:kern w:val="0"/>
              </w:rPr>
            </w:pPr>
            <w:r>
              <w:rPr>
                <w:rFonts w:ascii="仿宋_GB2312" w:hAnsi="宋体"/>
                <w:b/>
                <w:bCs/>
                <w:color w:val="000000"/>
                <w:kern w:val="0"/>
              </w:rPr>
              <w:t>项目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b/>
                <w:bCs/>
                <w:color w:val="000000"/>
                <w:kern w:val="0"/>
              </w:rPr>
            </w:pPr>
            <w:r>
              <w:rPr>
                <w:rFonts w:ascii="仿宋_GB2312" w:hAnsi="宋体"/>
                <w:b/>
                <w:bCs/>
                <w:color w:val="000000"/>
                <w:kern w:val="0"/>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b/>
                <w:bCs/>
                <w:color w:val="000000"/>
                <w:kern w:val="0"/>
              </w:rPr>
            </w:pPr>
            <w:r>
              <w:rPr>
                <w:rFonts w:ascii="仿宋_GB2312" w:hAnsi="宋体"/>
                <w:b/>
                <w:bCs/>
                <w:color w:val="000000"/>
                <w:kern w:val="0"/>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b/>
                <w:bCs/>
                <w:color w:val="000000"/>
                <w:kern w:val="0"/>
              </w:rPr>
            </w:pPr>
            <w:r>
              <w:rPr>
                <w:rFonts w:ascii="仿宋_GB2312" w:hAnsi="宋体"/>
                <w:b/>
                <w:bCs/>
                <w:color w:val="000000"/>
                <w:kern w:val="0"/>
              </w:rPr>
              <w:t>经济分类科目名称</w:t>
            </w:r>
          </w:p>
        </w:tc>
        <w:tc>
          <w:tcPr>
            <w:tcW w:w="1701" w:type="dxa"/>
            <w:gridSpan w:val="2"/>
            <w:vMerge w:val="restart"/>
            <w:tcBorders>
              <w:top w:val="nil"/>
              <w:left w:val="nil"/>
              <w:bottom w:val="single" w:color="000000" w:sz="4" w:space="0"/>
              <w:right w:val="single" w:color="auto" w:sz="4" w:space="0"/>
            </w:tcBorders>
            <w:vAlign w:val="center"/>
          </w:tcPr>
          <w:p>
            <w:pPr>
              <w:widowControl/>
              <w:jc w:val="center"/>
              <w:rPr>
                <w:rFonts w:ascii="仿宋_GB2312" w:hAnsi="宋体"/>
                <w:b/>
                <w:bCs/>
                <w:color w:val="000000"/>
                <w:kern w:val="0"/>
              </w:rPr>
            </w:pPr>
            <w:r>
              <w:rPr>
                <w:rFonts w:ascii="仿宋_GB2312" w:hAnsi="宋体"/>
                <w:b/>
                <w:bCs/>
                <w:color w:val="000000"/>
                <w:kern w:val="0"/>
              </w:rPr>
              <w:t>合  计</w:t>
            </w:r>
          </w:p>
        </w:tc>
        <w:tc>
          <w:tcPr>
            <w:tcW w:w="1701" w:type="dxa"/>
            <w:gridSpan w:val="2"/>
            <w:vMerge w:val="restart"/>
            <w:tcBorders>
              <w:top w:val="nil"/>
              <w:left w:val="nil"/>
              <w:bottom w:val="single" w:color="000000" w:sz="4" w:space="0"/>
              <w:right w:val="single" w:color="auto" w:sz="4" w:space="0"/>
            </w:tcBorders>
            <w:vAlign w:val="center"/>
          </w:tcPr>
          <w:p>
            <w:pPr>
              <w:widowControl/>
              <w:jc w:val="center"/>
              <w:rPr>
                <w:rFonts w:ascii="仿宋_GB2312" w:hAnsi="宋体"/>
                <w:b/>
                <w:bCs/>
                <w:color w:val="000000"/>
                <w:kern w:val="0"/>
              </w:rPr>
            </w:pPr>
            <w:r>
              <w:rPr>
                <w:rFonts w:ascii="仿宋_GB2312" w:hAnsi="宋体"/>
                <w:b/>
                <w:bCs/>
                <w:color w:val="000000"/>
                <w:kern w:val="0"/>
              </w:rPr>
              <w:t>人员经费</w:t>
            </w:r>
          </w:p>
        </w:tc>
        <w:tc>
          <w:tcPr>
            <w:tcW w:w="1701" w:type="dxa"/>
            <w:vMerge w:val="restart"/>
            <w:tcBorders>
              <w:top w:val="nil"/>
              <w:left w:val="nil"/>
              <w:bottom w:val="single" w:color="000000" w:sz="4" w:space="0"/>
              <w:right w:val="single" w:color="auto" w:sz="4" w:space="0"/>
            </w:tcBorders>
            <w:vAlign w:val="center"/>
          </w:tcPr>
          <w:p>
            <w:pPr>
              <w:widowControl/>
              <w:jc w:val="center"/>
              <w:rPr>
                <w:rFonts w:ascii="仿宋_GB2312" w:hAnsi="宋体"/>
                <w:b/>
                <w:bCs/>
                <w:color w:val="000000"/>
                <w:kern w:val="0"/>
              </w:rPr>
            </w:pPr>
            <w:r>
              <w:rPr>
                <w:rFonts w:ascii="仿宋_GB2312" w:hAnsi="宋体"/>
                <w:b/>
                <w:bCs/>
                <w:color w:val="000000"/>
                <w:kern w:val="0"/>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_GB2312" w:hAnsi="宋体"/>
                <w:b/>
                <w:bCs/>
                <w:color w:val="000000"/>
                <w:kern w:val="0"/>
                <w:sz w:val="20"/>
                <w:szCs w:val="20"/>
              </w:rPr>
            </w:pPr>
            <w:r>
              <w:rPr>
                <w:rFonts w:ascii="仿宋_GB2312" w:hAnsi="宋体"/>
                <w:b/>
                <w:bCs/>
                <w:color w:val="000000"/>
                <w:kern w:val="0"/>
                <w:sz w:val="20"/>
                <w:szCs w:val="20"/>
              </w:rPr>
              <w:t>类</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b/>
                <w:bCs/>
                <w:color w:val="000000"/>
                <w:kern w:val="0"/>
                <w:sz w:val="20"/>
                <w:szCs w:val="20"/>
              </w:rPr>
            </w:pPr>
            <w:r>
              <w:rPr>
                <w:rFonts w:ascii="仿宋_GB2312" w:hAnsi="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b/>
                <w:bCs/>
                <w:color w:val="000000"/>
                <w:kern w:val="0"/>
              </w:rPr>
            </w:pPr>
          </w:p>
        </w:tc>
        <w:tc>
          <w:tcPr>
            <w:tcW w:w="1701" w:type="dxa"/>
            <w:gridSpan w:val="2"/>
            <w:vMerge w:val="continue"/>
            <w:tcBorders>
              <w:top w:val="nil"/>
              <w:left w:val="nil"/>
              <w:bottom w:val="single" w:color="000000" w:sz="4" w:space="0"/>
              <w:right w:val="single" w:color="auto" w:sz="4" w:space="0"/>
            </w:tcBorders>
            <w:vAlign w:val="center"/>
          </w:tcPr>
          <w:p>
            <w:pPr>
              <w:widowControl/>
              <w:jc w:val="left"/>
              <w:rPr>
                <w:rFonts w:ascii="仿宋_GB2312" w:hAnsi="宋体"/>
                <w:b/>
                <w:bCs/>
                <w:color w:val="000000"/>
                <w:kern w:val="0"/>
              </w:rPr>
            </w:pPr>
          </w:p>
        </w:tc>
        <w:tc>
          <w:tcPr>
            <w:tcW w:w="1701" w:type="dxa"/>
            <w:gridSpan w:val="2"/>
            <w:vMerge w:val="continue"/>
            <w:tcBorders>
              <w:top w:val="nil"/>
              <w:left w:val="nil"/>
              <w:bottom w:val="single" w:color="000000" w:sz="4" w:space="0"/>
              <w:right w:val="single" w:color="auto" w:sz="4" w:space="0"/>
            </w:tcBorders>
            <w:vAlign w:val="center"/>
          </w:tcPr>
          <w:p>
            <w:pPr>
              <w:widowControl/>
              <w:jc w:val="left"/>
              <w:rPr>
                <w:rFonts w:ascii="仿宋_GB2312" w:hAnsi="宋体"/>
                <w:b/>
                <w:bCs/>
                <w:color w:val="000000"/>
                <w:kern w:val="0"/>
              </w:rPr>
            </w:pPr>
          </w:p>
        </w:tc>
        <w:tc>
          <w:tcPr>
            <w:tcW w:w="1701" w:type="dxa"/>
            <w:vMerge w:val="continue"/>
            <w:tcBorders>
              <w:top w:val="nil"/>
              <w:left w:val="nil"/>
              <w:bottom w:val="single" w:color="000000" w:sz="4" w:space="0"/>
              <w:right w:val="single" w:color="auto" w:sz="4" w:space="0"/>
            </w:tcBorders>
            <w:vAlign w:val="center"/>
          </w:tcPr>
          <w:p>
            <w:pPr>
              <w:widowControl/>
              <w:jc w:val="left"/>
              <w:rPr>
                <w:rFonts w:ascii="仿宋_GB2312" w:hAnsi="宋体"/>
                <w:b/>
                <w:bCs/>
                <w:color w:val="000000"/>
                <w:kern w:val="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工资福利支出</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2485.28</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2485.28</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01</w:t>
            </w:r>
          </w:p>
        </w:tc>
        <w:tc>
          <w:tcPr>
            <w:tcW w:w="289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基本工资</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516.88</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516.88</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02</w:t>
            </w:r>
          </w:p>
        </w:tc>
        <w:tc>
          <w:tcPr>
            <w:tcW w:w="289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津贴补贴</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396.56</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396.56</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03</w:t>
            </w:r>
          </w:p>
        </w:tc>
        <w:tc>
          <w:tcPr>
            <w:tcW w:w="289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奖金</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67.69</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67.69</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10</w:t>
            </w:r>
          </w:p>
        </w:tc>
        <w:tc>
          <w:tcPr>
            <w:tcW w:w="289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196.27</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196.27</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12</w:t>
            </w:r>
          </w:p>
        </w:tc>
        <w:tc>
          <w:tcPr>
            <w:tcW w:w="289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其他社会保险缴费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3.92</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3.92</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99</w:t>
            </w:r>
          </w:p>
        </w:tc>
        <w:tc>
          <w:tcPr>
            <w:tcW w:w="289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其他工资福利支出</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963.4</w:t>
            </w:r>
            <w:r>
              <w:rPr>
                <w:rFonts w:ascii="仿宋_GB2312" w:hAnsi="宋体"/>
                <w:kern w:val="0"/>
                <w:sz w:val="18"/>
                <w:szCs w:val="18"/>
              </w:rPr>
              <w:t>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963.4</w:t>
            </w:r>
            <w:r>
              <w:rPr>
                <w:rFonts w:ascii="仿宋_GB2312" w:hAnsi="宋体"/>
                <w:kern w:val="0"/>
                <w:sz w:val="18"/>
                <w:szCs w:val="18"/>
              </w:rPr>
              <w:t>0</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08</w:t>
            </w:r>
          </w:p>
        </w:tc>
        <w:tc>
          <w:tcPr>
            <w:tcW w:w="289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199.67</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199.67</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13</w:t>
            </w:r>
          </w:p>
        </w:tc>
        <w:tc>
          <w:tcPr>
            <w:tcW w:w="289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住房公积金</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140.89</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对个人和家庭的补助</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39.35</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39.35</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01</w:t>
            </w:r>
          </w:p>
        </w:tc>
        <w:tc>
          <w:tcPr>
            <w:tcW w:w="289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离休费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12.26</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12.26</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02</w:t>
            </w:r>
          </w:p>
        </w:tc>
        <w:tc>
          <w:tcPr>
            <w:tcW w:w="289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退休费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27.09</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27.09</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20"/>
                <w:szCs w:val="20"/>
              </w:rPr>
            </w:pPr>
            <w:r>
              <w:rPr>
                <w:rFonts w:hint="eastAsia" w:ascii="宋体" w:hAnsi="宋体"/>
                <w:b/>
                <w:bCs/>
                <w:color w:val="000000"/>
                <w:kern w:val="0"/>
                <w:sz w:val="20"/>
                <w:szCs w:val="20"/>
              </w:rPr>
              <w:t>合  计</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2524.63</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2524.63</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bl>
    <w:p>
      <w:pPr>
        <w:rPr>
          <w:rFonts w:ascii="仿宋_GB2312" w:hAnsi="仿宋_GB2312"/>
          <w:b/>
          <w:bCs/>
          <w:kern w:val="0"/>
          <w:sz w:val="32"/>
          <w:szCs w:val="32"/>
        </w:rPr>
      </w:pPr>
      <w:r>
        <w:rPr>
          <w:rFonts w:ascii="仿宋_GB2312" w:hAnsi="仿宋_GB2312"/>
          <w:b/>
          <w:bCs/>
          <w:kern w:val="0"/>
          <w:sz w:val="32"/>
          <w:szCs w:val="32"/>
        </w:rPr>
        <w:br w:type="page"/>
      </w:r>
    </w:p>
    <w:p>
      <w:pPr>
        <w:widowControl/>
        <w:jc w:val="left"/>
        <w:outlineLvl w:val="1"/>
        <w:rPr>
          <w:rFonts w:ascii="仿宋_GB2312" w:hAnsi="宋体"/>
          <w:b/>
          <w:bCs/>
          <w:kern w:val="0"/>
          <w:sz w:val="32"/>
          <w:szCs w:val="32"/>
        </w:rPr>
      </w:pPr>
      <w:r>
        <w:rPr>
          <w:rFonts w:ascii="仿宋_GB2312" w:hAnsi="仿宋_GB2312"/>
          <w:b/>
          <w:bCs/>
          <w:kern w:val="0"/>
          <w:sz w:val="32"/>
          <w:szCs w:val="32"/>
        </w:rPr>
        <w:t>表七：</w:t>
      </w:r>
    </w:p>
    <w:tbl>
      <w:tblPr>
        <w:tblStyle w:val="4"/>
        <w:tblW w:w="9109" w:type="dxa"/>
        <w:tblInd w:w="0" w:type="dxa"/>
        <w:tblLayout w:type="fixed"/>
        <w:tblCellMar>
          <w:top w:w="0" w:type="dxa"/>
          <w:left w:w="108" w:type="dxa"/>
          <w:bottom w:w="0" w:type="dxa"/>
          <w:right w:w="108" w:type="dxa"/>
        </w:tblCellMar>
      </w:tblPr>
      <w:tblGrid>
        <w:gridCol w:w="456"/>
        <w:gridCol w:w="397"/>
        <w:gridCol w:w="397"/>
        <w:gridCol w:w="748"/>
        <w:gridCol w:w="1030"/>
        <w:gridCol w:w="1103"/>
        <w:gridCol w:w="565"/>
        <w:gridCol w:w="397"/>
        <w:gridCol w:w="390"/>
        <w:gridCol w:w="7"/>
        <w:gridCol w:w="390"/>
        <w:gridCol w:w="7"/>
        <w:gridCol w:w="397"/>
        <w:gridCol w:w="578"/>
        <w:gridCol w:w="397"/>
        <w:gridCol w:w="578"/>
        <w:gridCol w:w="397"/>
        <w:gridCol w:w="397"/>
        <w:gridCol w:w="390"/>
        <w:gridCol w:w="7"/>
        <w:gridCol w:w="81"/>
      </w:tblGrid>
      <w:tr>
        <w:tblPrEx>
          <w:tblLayout w:type="fixed"/>
          <w:tblCellMar>
            <w:top w:w="0" w:type="dxa"/>
            <w:left w:w="108" w:type="dxa"/>
            <w:bottom w:w="0" w:type="dxa"/>
            <w:right w:w="108" w:type="dxa"/>
          </w:tblCellMar>
        </w:tblPrEx>
        <w:trPr>
          <w:gridAfter w:val="2"/>
          <w:wAfter w:w="88" w:type="dxa"/>
          <w:trHeight w:val="443" w:hRule="atLeast"/>
        </w:trPr>
        <w:tc>
          <w:tcPr>
            <w:tcW w:w="9021" w:type="dxa"/>
            <w:gridSpan w:val="19"/>
            <w:tcBorders>
              <w:top w:val="nil"/>
              <w:left w:val="nil"/>
              <w:bottom w:val="nil"/>
              <w:right w:val="nil"/>
            </w:tcBorders>
            <w:noWrap/>
            <w:vAlign w:val="center"/>
          </w:tcPr>
          <w:p>
            <w:pPr>
              <w:widowControl/>
              <w:jc w:val="center"/>
              <w:rPr>
                <w:rFonts w:ascii="仿宋_GB2312" w:hAnsi="宋体"/>
                <w:b/>
                <w:bCs/>
                <w:color w:val="000000"/>
                <w:kern w:val="0"/>
                <w:sz w:val="32"/>
                <w:szCs w:val="32"/>
              </w:rPr>
            </w:pPr>
            <w:r>
              <w:rPr>
                <w:rFonts w:ascii="仿宋_GB2312" w:hAnsi="宋体"/>
                <w:b/>
                <w:bCs/>
                <w:color w:val="000000"/>
                <w:kern w:val="0"/>
                <w:sz w:val="32"/>
                <w:szCs w:val="32"/>
              </w:rPr>
              <w:t>一般公共预算项目支出情况表</w:t>
            </w:r>
          </w:p>
        </w:tc>
      </w:tr>
      <w:tr>
        <w:tblPrEx>
          <w:tblLayout w:type="fixed"/>
          <w:tblCellMar>
            <w:top w:w="0" w:type="dxa"/>
            <w:left w:w="108" w:type="dxa"/>
            <w:bottom w:w="0" w:type="dxa"/>
            <w:right w:w="108" w:type="dxa"/>
          </w:tblCellMar>
        </w:tblPrEx>
        <w:trPr>
          <w:trHeight w:val="433" w:hRule="atLeast"/>
        </w:trPr>
        <w:tc>
          <w:tcPr>
            <w:tcW w:w="3028" w:type="dxa"/>
            <w:gridSpan w:val="5"/>
            <w:tcBorders>
              <w:top w:val="nil"/>
              <w:left w:val="nil"/>
              <w:bottom w:val="nil"/>
              <w:right w:val="nil"/>
            </w:tcBorders>
            <w:noWrap/>
            <w:vAlign w:val="center"/>
          </w:tcPr>
          <w:p>
            <w:pPr>
              <w:widowControl/>
              <w:jc w:val="left"/>
              <w:rPr>
                <w:rFonts w:ascii="仿宋_GB2312" w:hAnsi="宋体"/>
                <w:color w:val="000000"/>
                <w:kern w:val="0"/>
                <w:sz w:val="24"/>
                <w:szCs w:val="24"/>
              </w:rPr>
            </w:pPr>
            <w:r>
              <w:rPr>
                <w:rFonts w:hint="eastAsia" w:ascii="仿宋_GB2312" w:hAnsi="宋体" w:eastAsia="仿宋_GB2312"/>
                <w:kern w:val="0"/>
                <w:sz w:val="18"/>
                <w:szCs w:val="18"/>
              </w:rPr>
              <w:t>编制部门：伊州区人民医院</w:t>
            </w:r>
          </w:p>
        </w:tc>
        <w:tc>
          <w:tcPr>
            <w:tcW w:w="2455" w:type="dxa"/>
            <w:gridSpan w:val="4"/>
            <w:tcBorders>
              <w:top w:val="nil"/>
              <w:left w:val="nil"/>
              <w:bottom w:val="nil"/>
              <w:right w:val="nil"/>
            </w:tcBorders>
            <w:noWrap/>
            <w:vAlign w:val="center"/>
          </w:tcPr>
          <w:p>
            <w:pPr>
              <w:widowControl/>
              <w:jc w:val="left"/>
              <w:rPr>
                <w:rFonts w:ascii="仿宋_GB2312" w:hAnsi="宋体"/>
                <w:color w:val="000000"/>
                <w:kern w:val="0"/>
                <w:sz w:val="24"/>
                <w:szCs w:val="24"/>
              </w:rPr>
            </w:pPr>
          </w:p>
        </w:tc>
        <w:tc>
          <w:tcPr>
            <w:tcW w:w="397" w:type="dxa"/>
            <w:gridSpan w:val="2"/>
            <w:tcBorders>
              <w:top w:val="nil"/>
              <w:left w:val="nil"/>
              <w:bottom w:val="nil"/>
              <w:right w:val="nil"/>
            </w:tcBorders>
            <w:noWrap/>
            <w:vAlign w:val="center"/>
          </w:tcPr>
          <w:p>
            <w:pPr>
              <w:widowControl/>
              <w:jc w:val="left"/>
              <w:rPr>
                <w:rFonts w:ascii="仿宋_GB2312" w:hAnsi="宋体"/>
                <w:color w:val="000000"/>
                <w:kern w:val="0"/>
                <w:sz w:val="24"/>
                <w:szCs w:val="24"/>
              </w:rPr>
            </w:pPr>
            <w:r>
              <w:rPr>
                <w:rFonts w:ascii="仿宋_GB2312" w:hAnsi="宋体"/>
                <w:color w:val="000000"/>
                <w:kern w:val="0"/>
                <w:sz w:val="24"/>
                <w:szCs w:val="24"/>
              </w:rPr>
              <w:t xml:space="preserve">      </w:t>
            </w:r>
          </w:p>
        </w:tc>
        <w:tc>
          <w:tcPr>
            <w:tcW w:w="3229" w:type="dxa"/>
            <w:gridSpan w:val="10"/>
            <w:tcBorders>
              <w:top w:val="nil"/>
              <w:left w:val="nil"/>
              <w:bottom w:val="nil"/>
              <w:right w:val="nil"/>
            </w:tcBorders>
            <w:noWrap/>
            <w:vAlign w:val="center"/>
          </w:tcPr>
          <w:p>
            <w:pPr>
              <w:widowControl/>
              <w:ind w:firstLine="720" w:firstLineChars="400"/>
              <w:rPr>
                <w:rFonts w:ascii="仿宋_GB2312" w:hAnsi="宋体"/>
                <w:color w:val="000000"/>
                <w:kern w:val="0"/>
                <w:sz w:val="24"/>
                <w:szCs w:val="24"/>
              </w:rPr>
            </w:pPr>
            <w:r>
              <w:rPr>
                <w:rFonts w:hint="eastAsia" w:ascii="仿宋_GB2312" w:hAnsi="宋体" w:eastAsia="仿宋_GB2312"/>
                <w:kern w:val="0"/>
                <w:sz w:val="18"/>
                <w:szCs w:val="18"/>
              </w:rPr>
              <w:t>单位：万元</w:t>
            </w:r>
          </w:p>
        </w:tc>
      </w:tr>
      <w:tr>
        <w:tblPrEx>
          <w:tblLayout w:type="fixed"/>
          <w:tblCellMar>
            <w:top w:w="0" w:type="dxa"/>
            <w:left w:w="108" w:type="dxa"/>
            <w:bottom w:w="0" w:type="dxa"/>
            <w:right w:w="108" w:type="dxa"/>
          </w:tblCellMar>
        </w:tblPrEx>
        <w:trPr>
          <w:gridAfter w:val="1"/>
          <w:wAfter w:w="81" w:type="dxa"/>
          <w:trHeight w:val="684" w:hRule="atLeast"/>
        </w:trPr>
        <w:tc>
          <w:tcPr>
            <w:tcW w:w="1250"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outlineLvl w:val="1"/>
              <w:rPr>
                <w:rFonts w:ascii="仿宋_GB2312" w:hAnsi="宋体"/>
                <w:b/>
                <w:bCs/>
                <w:kern w:val="0"/>
                <w:sz w:val="18"/>
                <w:szCs w:val="18"/>
              </w:rPr>
            </w:pPr>
            <w:r>
              <w:rPr>
                <w:rFonts w:ascii="仿宋_GB2312" w:hAnsi="宋体"/>
                <w:b/>
                <w:bCs/>
                <w:kern w:val="0"/>
                <w:sz w:val="18"/>
                <w:szCs w:val="18"/>
              </w:rPr>
              <w:t>科 目 编 码</w:t>
            </w:r>
          </w:p>
        </w:tc>
        <w:tc>
          <w:tcPr>
            <w:tcW w:w="748" w:type="dxa"/>
            <w:vMerge w:val="restart"/>
            <w:tcBorders>
              <w:top w:val="single" w:color="auto" w:sz="4" w:space="0"/>
              <w:left w:val="nil"/>
              <w:bottom w:val="single" w:color="auto" w:sz="4" w:space="0"/>
              <w:right w:val="single" w:color="auto" w:sz="4" w:space="0"/>
            </w:tcBorders>
            <w:noWrap/>
            <w:vAlign w:val="center"/>
          </w:tcPr>
          <w:p>
            <w:pPr>
              <w:widowControl/>
              <w:jc w:val="center"/>
              <w:outlineLvl w:val="1"/>
              <w:rPr>
                <w:rFonts w:ascii="仿宋_GB2312" w:hAnsi="宋体"/>
                <w:b/>
                <w:bCs/>
                <w:kern w:val="0"/>
                <w:sz w:val="18"/>
                <w:szCs w:val="18"/>
              </w:rPr>
            </w:pPr>
            <w:r>
              <w:rPr>
                <w:rFonts w:ascii="仿宋_GB2312" w:hAnsi="宋体"/>
                <w:b/>
                <w:bCs/>
                <w:kern w:val="0"/>
                <w:sz w:val="18"/>
                <w:szCs w:val="18"/>
              </w:rPr>
              <w:t>科目</w:t>
            </w:r>
          </w:p>
        </w:tc>
        <w:tc>
          <w:tcPr>
            <w:tcW w:w="2133" w:type="dxa"/>
            <w:gridSpan w:val="2"/>
            <w:vMerge w:val="restart"/>
            <w:tcBorders>
              <w:top w:val="single" w:color="auto" w:sz="4" w:space="0"/>
              <w:left w:val="nil"/>
              <w:bottom w:val="single" w:color="auto" w:sz="4" w:space="0"/>
              <w:right w:val="single" w:color="auto" w:sz="4" w:space="0"/>
            </w:tcBorders>
            <w:noWrap/>
            <w:vAlign w:val="center"/>
          </w:tcPr>
          <w:p>
            <w:pPr>
              <w:jc w:val="center"/>
              <w:rPr>
                <w:sz w:val="24"/>
                <w:szCs w:val="24"/>
              </w:rPr>
            </w:pPr>
            <w:r>
              <w:rPr>
                <w:rFonts w:ascii="仿宋_GB2312" w:hAnsi="宋体"/>
                <w:b/>
                <w:bCs/>
                <w:kern w:val="0"/>
                <w:sz w:val="24"/>
                <w:szCs w:val="24"/>
              </w:rPr>
              <w:t>项目名称</w:t>
            </w:r>
          </w:p>
        </w:tc>
        <w:tc>
          <w:tcPr>
            <w:tcW w:w="565" w:type="dxa"/>
            <w:vMerge w:val="restart"/>
            <w:tcBorders>
              <w:top w:val="single" w:color="auto" w:sz="4" w:space="0"/>
              <w:left w:val="nil"/>
              <w:bottom w:val="single" w:color="auto" w:sz="4" w:space="0"/>
              <w:right w:val="single" w:color="auto" w:sz="4" w:space="0"/>
            </w:tcBorders>
            <w:vAlign w:val="center"/>
          </w:tcPr>
          <w:p>
            <w:pPr>
              <w:widowControl/>
              <w:jc w:val="center"/>
              <w:outlineLvl w:val="1"/>
              <w:rPr>
                <w:rFonts w:ascii="仿宋_GB2312" w:hAnsi="宋体"/>
                <w:b/>
                <w:bCs/>
                <w:kern w:val="0"/>
                <w:sz w:val="18"/>
                <w:szCs w:val="18"/>
              </w:rPr>
            </w:pPr>
            <w:r>
              <w:rPr>
                <w:rFonts w:ascii="仿宋_GB2312" w:hAnsi="宋体"/>
                <w:b/>
                <w:bCs/>
                <w:kern w:val="0"/>
                <w:sz w:val="18"/>
                <w:szCs w:val="18"/>
              </w:rPr>
              <w:t>项目支出合计</w:t>
            </w:r>
          </w:p>
        </w:tc>
        <w:tc>
          <w:tcPr>
            <w:tcW w:w="397" w:type="dxa"/>
            <w:vMerge w:val="restart"/>
            <w:tcBorders>
              <w:top w:val="single" w:color="auto" w:sz="4" w:space="0"/>
              <w:left w:val="nil"/>
              <w:bottom w:val="single" w:color="auto" w:sz="4" w:space="0"/>
              <w:right w:val="single" w:color="auto" w:sz="4" w:space="0"/>
            </w:tcBorders>
            <w:vAlign w:val="center"/>
          </w:tcPr>
          <w:p>
            <w:pPr>
              <w:widowControl/>
              <w:jc w:val="center"/>
              <w:outlineLvl w:val="1"/>
              <w:rPr>
                <w:rFonts w:ascii="仿宋_GB2312" w:hAnsi="宋体"/>
                <w:b/>
                <w:bCs/>
                <w:kern w:val="0"/>
                <w:sz w:val="18"/>
                <w:szCs w:val="18"/>
              </w:rPr>
            </w:pPr>
            <w:r>
              <w:rPr>
                <w:rFonts w:ascii="仿宋_GB2312" w:hAnsi="宋体"/>
                <w:b/>
                <w:bCs/>
                <w:kern w:val="0"/>
                <w:sz w:val="18"/>
                <w:szCs w:val="18"/>
              </w:rPr>
              <w:t>工资福利支出</w:t>
            </w:r>
          </w:p>
        </w:tc>
        <w:tc>
          <w:tcPr>
            <w:tcW w:w="397" w:type="dxa"/>
            <w:gridSpan w:val="2"/>
            <w:vMerge w:val="restart"/>
            <w:tcBorders>
              <w:top w:val="single" w:color="auto" w:sz="4" w:space="0"/>
              <w:left w:val="nil"/>
              <w:bottom w:val="single" w:color="auto" w:sz="4" w:space="0"/>
              <w:right w:val="single" w:color="auto" w:sz="4" w:space="0"/>
            </w:tcBorders>
            <w:vAlign w:val="center"/>
          </w:tcPr>
          <w:p>
            <w:pPr>
              <w:widowControl/>
              <w:jc w:val="center"/>
              <w:outlineLvl w:val="1"/>
              <w:rPr>
                <w:rFonts w:ascii="仿宋_GB2312" w:hAnsi="宋体"/>
                <w:b/>
                <w:bCs/>
                <w:kern w:val="0"/>
                <w:sz w:val="18"/>
                <w:szCs w:val="18"/>
              </w:rPr>
            </w:pPr>
            <w:r>
              <w:rPr>
                <w:rFonts w:ascii="仿宋_GB2312" w:hAnsi="宋体"/>
                <w:b/>
                <w:bCs/>
                <w:kern w:val="0"/>
                <w:sz w:val="18"/>
                <w:szCs w:val="18"/>
              </w:rPr>
              <w:t>商品和服务支出</w:t>
            </w:r>
          </w:p>
        </w:tc>
        <w:tc>
          <w:tcPr>
            <w:tcW w:w="397" w:type="dxa"/>
            <w:gridSpan w:val="2"/>
            <w:vMerge w:val="restart"/>
            <w:tcBorders>
              <w:top w:val="single" w:color="auto" w:sz="4" w:space="0"/>
              <w:left w:val="nil"/>
              <w:bottom w:val="single" w:color="auto" w:sz="4" w:space="0"/>
              <w:right w:val="single" w:color="auto" w:sz="4" w:space="0"/>
            </w:tcBorders>
            <w:vAlign w:val="center"/>
          </w:tcPr>
          <w:p>
            <w:pPr>
              <w:widowControl/>
              <w:jc w:val="center"/>
              <w:outlineLvl w:val="1"/>
              <w:rPr>
                <w:rFonts w:ascii="仿宋_GB2312" w:hAnsi="宋体"/>
                <w:b/>
                <w:bCs/>
                <w:kern w:val="0"/>
                <w:sz w:val="18"/>
                <w:szCs w:val="18"/>
              </w:rPr>
            </w:pPr>
            <w:r>
              <w:rPr>
                <w:rFonts w:ascii="仿宋_GB2312" w:hAnsi="宋体"/>
                <w:b/>
                <w:bCs/>
                <w:kern w:val="0"/>
                <w:sz w:val="18"/>
                <w:szCs w:val="18"/>
              </w:rPr>
              <w:t>对个人和家庭的补助</w:t>
            </w:r>
          </w:p>
        </w:tc>
        <w:tc>
          <w:tcPr>
            <w:tcW w:w="397" w:type="dxa"/>
            <w:vMerge w:val="restart"/>
            <w:tcBorders>
              <w:top w:val="single" w:color="auto" w:sz="4" w:space="0"/>
              <w:left w:val="nil"/>
              <w:bottom w:val="single" w:color="auto" w:sz="4" w:space="0"/>
              <w:right w:val="single" w:color="auto" w:sz="4" w:space="0"/>
            </w:tcBorders>
            <w:vAlign w:val="center"/>
          </w:tcPr>
          <w:p>
            <w:pPr>
              <w:widowControl/>
              <w:jc w:val="center"/>
              <w:outlineLvl w:val="1"/>
              <w:rPr>
                <w:rFonts w:ascii="仿宋_GB2312" w:hAnsi="宋体"/>
                <w:b/>
                <w:bCs/>
                <w:kern w:val="0"/>
                <w:sz w:val="18"/>
                <w:szCs w:val="18"/>
              </w:rPr>
            </w:pPr>
            <w:r>
              <w:rPr>
                <w:rFonts w:ascii="仿宋_GB2312" w:hAnsi="宋体"/>
                <w:b/>
                <w:bCs/>
                <w:kern w:val="0"/>
                <w:sz w:val="18"/>
                <w:szCs w:val="18"/>
              </w:rPr>
              <w:t>债务利息及费用支出</w:t>
            </w:r>
          </w:p>
        </w:tc>
        <w:tc>
          <w:tcPr>
            <w:tcW w:w="578" w:type="dxa"/>
            <w:vMerge w:val="restart"/>
            <w:tcBorders>
              <w:top w:val="single" w:color="auto" w:sz="4" w:space="0"/>
              <w:left w:val="nil"/>
              <w:bottom w:val="single" w:color="auto" w:sz="4" w:space="0"/>
              <w:right w:val="single" w:color="auto" w:sz="4" w:space="0"/>
            </w:tcBorders>
            <w:vAlign w:val="center"/>
          </w:tcPr>
          <w:p>
            <w:pPr>
              <w:widowControl/>
              <w:jc w:val="center"/>
              <w:outlineLvl w:val="1"/>
              <w:rPr>
                <w:rFonts w:ascii="仿宋_GB2312" w:hAnsi="宋体"/>
                <w:b/>
                <w:bCs/>
                <w:kern w:val="0"/>
                <w:sz w:val="18"/>
                <w:szCs w:val="18"/>
              </w:rPr>
            </w:pPr>
            <w:r>
              <w:rPr>
                <w:rFonts w:ascii="仿宋_GB2312" w:hAnsi="宋体"/>
                <w:b/>
                <w:bCs/>
                <w:kern w:val="0"/>
                <w:sz w:val="18"/>
                <w:szCs w:val="18"/>
              </w:rPr>
              <w:t>资本性支出（基本建设）</w:t>
            </w:r>
          </w:p>
        </w:tc>
        <w:tc>
          <w:tcPr>
            <w:tcW w:w="397" w:type="dxa"/>
            <w:vMerge w:val="restart"/>
            <w:tcBorders>
              <w:top w:val="single" w:color="auto" w:sz="4" w:space="0"/>
              <w:left w:val="nil"/>
              <w:bottom w:val="single" w:color="auto" w:sz="4" w:space="0"/>
              <w:right w:val="single" w:color="auto" w:sz="4" w:space="0"/>
            </w:tcBorders>
            <w:vAlign w:val="center"/>
          </w:tcPr>
          <w:p>
            <w:pPr>
              <w:widowControl/>
              <w:jc w:val="center"/>
              <w:outlineLvl w:val="1"/>
              <w:rPr>
                <w:rFonts w:ascii="仿宋_GB2312" w:hAnsi="宋体"/>
                <w:b/>
                <w:bCs/>
                <w:kern w:val="0"/>
                <w:sz w:val="18"/>
                <w:szCs w:val="18"/>
              </w:rPr>
            </w:pPr>
            <w:r>
              <w:rPr>
                <w:rFonts w:ascii="仿宋_GB2312" w:hAnsi="宋体"/>
                <w:b/>
                <w:bCs/>
                <w:kern w:val="0"/>
                <w:sz w:val="18"/>
                <w:szCs w:val="18"/>
              </w:rPr>
              <w:t>资本性支出</w:t>
            </w:r>
          </w:p>
        </w:tc>
        <w:tc>
          <w:tcPr>
            <w:tcW w:w="578" w:type="dxa"/>
            <w:vMerge w:val="restart"/>
            <w:tcBorders>
              <w:top w:val="single" w:color="auto" w:sz="4" w:space="0"/>
              <w:left w:val="nil"/>
              <w:bottom w:val="single" w:color="auto" w:sz="4" w:space="0"/>
              <w:right w:val="single" w:color="auto" w:sz="4" w:space="0"/>
            </w:tcBorders>
            <w:vAlign w:val="center"/>
          </w:tcPr>
          <w:p>
            <w:pPr>
              <w:widowControl/>
              <w:jc w:val="center"/>
              <w:outlineLvl w:val="1"/>
              <w:rPr>
                <w:rFonts w:ascii="仿宋_GB2312" w:hAnsi="宋体"/>
                <w:b/>
                <w:bCs/>
                <w:kern w:val="0"/>
                <w:sz w:val="18"/>
                <w:szCs w:val="18"/>
              </w:rPr>
            </w:pPr>
            <w:r>
              <w:rPr>
                <w:rFonts w:ascii="仿宋_GB2312" w:hAnsi="宋体"/>
                <w:b/>
                <w:bCs/>
                <w:kern w:val="0"/>
                <w:sz w:val="18"/>
                <w:szCs w:val="18"/>
              </w:rPr>
              <w:t>对企业补助（基本建设）</w:t>
            </w:r>
          </w:p>
        </w:tc>
        <w:tc>
          <w:tcPr>
            <w:tcW w:w="397" w:type="dxa"/>
            <w:vMerge w:val="restart"/>
            <w:tcBorders>
              <w:top w:val="single" w:color="auto" w:sz="4" w:space="0"/>
              <w:left w:val="nil"/>
              <w:bottom w:val="single" w:color="auto" w:sz="4" w:space="0"/>
              <w:right w:val="single" w:color="auto" w:sz="4" w:space="0"/>
            </w:tcBorders>
            <w:vAlign w:val="center"/>
          </w:tcPr>
          <w:p>
            <w:pPr>
              <w:widowControl/>
              <w:jc w:val="center"/>
              <w:outlineLvl w:val="1"/>
              <w:rPr>
                <w:rFonts w:ascii="仿宋_GB2312" w:hAnsi="宋体"/>
                <w:b/>
                <w:bCs/>
                <w:kern w:val="0"/>
                <w:sz w:val="18"/>
                <w:szCs w:val="18"/>
              </w:rPr>
            </w:pPr>
            <w:r>
              <w:rPr>
                <w:rFonts w:ascii="仿宋_GB2312" w:hAnsi="宋体"/>
                <w:b/>
                <w:bCs/>
                <w:kern w:val="0"/>
                <w:sz w:val="18"/>
                <w:szCs w:val="18"/>
              </w:rPr>
              <w:t>对企业补助</w:t>
            </w:r>
          </w:p>
        </w:tc>
        <w:tc>
          <w:tcPr>
            <w:tcW w:w="397" w:type="dxa"/>
            <w:vMerge w:val="restart"/>
            <w:tcBorders>
              <w:top w:val="single" w:color="auto" w:sz="4" w:space="0"/>
              <w:left w:val="nil"/>
              <w:bottom w:val="single" w:color="auto" w:sz="4" w:space="0"/>
              <w:right w:val="single" w:color="auto" w:sz="4" w:space="0"/>
            </w:tcBorders>
            <w:vAlign w:val="center"/>
          </w:tcPr>
          <w:p>
            <w:pPr>
              <w:widowControl/>
              <w:jc w:val="center"/>
              <w:outlineLvl w:val="1"/>
              <w:rPr>
                <w:rFonts w:ascii="仿宋_GB2312" w:hAnsi="宋体"/>
                <w:b/>
                <w:bCs/>
                <w:kern w:val="0"/>
                <w:sz w:val="18"/>
                <w:szCs w:val="18"/>
              </w:rPr>
            </w:pPr>
            <w:r>
              <w:rPr>
                <w:rFonts w:ascii="仿宋_GB2312" w:hAnsi="宋体"/>
                <w:b/>
                <w:bCs/>
                <w:kern w:val="0"/>
                <w:sz w:val="18"/>
                <w:szCs w:val="18"/>
              </w:rPr>
              <w:t>对社会保障基金补助</w:t>
            </w:r>
          </w:p>
        </w:tc>
        <w:tc>
          <w:tcPr>
            <w:tcW w:w="397" w:type="dxa"/>
            <w:gridSpan w:val="2"/>
            <w:vMerge w:val="restart"/>
            <w:tcBorders>
              <w:top w:val="single" w:color="auto" w:sz="4" w:space="0"/>
              <w:left w:val="nil"/>
              <w:bottom w:val="single" w:color="auto" w:sz="4" w:space="0"/>
              <w:right w:val="single" w:color="auto" w:sz="4" w:space="0"/>
            </w:tcBorders>
            <w:vAlign w:val="center"/>
          </w:tcPr>
          <w:p>
            <w:pPr>
              <w:widowControl/>
              <w:jc w:val="center"/>
              <w:outlineLvl w:val="1"/>
              <w:rPr>
                <w:rFonts w:ascii="仿宋_GB2312" w:hAnsi="宋体"/>
                <w:b/>
                <w:bCs/>
                <w:kern w:val="0"/>
                <w:sz w:val="18"/>
                <w:szCs w:val="18"/>
              </w:rPr>
            </w:pPr>
            <w:r>
              <w:rPr>
                <w:rFonts w:ascii="仿宋_GB2312" w:hAnsi="宋体"/>
                <w:b/>
                <w:bCs/>
                <w:kern w:val="0"/>
                <w:sz w:val="18"/>
                <w:szCs w:val="18"/>
              </w:rPr>
              <w:t>其他支出</w:t>
            </w:r>
          </w:p>
        </w:tc>
      </w:tr>
      <w:tr>
        <w:tblPrEx>
          <w:tblLayout w:type="fixed"/>
          <w:tblCellMar>
            <w:top w:w="0" w:type="dxa"/>
            <w:left w:w="108" w:type="dxa"/>
            <w:bottom w:w="0" w:type="dxa"/>
            <w:right w:w="108" w:type="dxa"/>
          </w:tblCellMar>
        </w:tblPrEx>
        <w:trPr>
          <w:gridAfter w:val="1"/>
          <w:wAfter w:w="81" w:type="dxa"/>
          <w:trHeight w:val="2071" w:hRule="atLeast"/>
        </w:trPr>
        <w:tc>
          <w:tcPr>
            <w:tcW w:w="456" w:type="dxa"/>
            <w:tcBorders>
              <w:top w:val="single" w:color="auto" w:sz="4" w:space="0"/>
              <w:left w:val="single" w:color="auto" w:sz="4" w:space="0"/>
              <w:bottom w:val="single" w:color="auto" w:sz="4" w:space="0"/>
              <w:right w:val="single" w:color="auto" w:sz="4" w:space="0"/>
            </w:tcBorders>
            <w:noWrap/>
            <w:vAlign w:val="center"/>
          </w:tcPr>
          <w:p>
            <w:pPr>
              <w:widowControl/>
              <w:jc w:val="left"/>
              <w:outlineLvl w:val="1"/>
              <w:rPr>
                <w:rFonts w:ascii="仿宋_GB2312" w:hAnsi="宋体"/>
                <w:b/>
                <w:bCs/>
                <w:kern w:val="0"/>
                <w:sz w:val="18"/>
                <w:szCs w:val="18"/>
              </w:rPr>
            </w:pPr>
            <w:r>
              <w:rPr>
                <w:rFonts w:ascii="仿宋_GB2312" w:hAnsi="宋体"/>
                <w:b/>
                <w:bCs/>
                <w:kern w:val="0"/>
                <w:sz w:val="18"/>
                <w:szCs w:val="18"/>
              </w:rPr>
              <w:t>类</w:t>
            </w:r>
          </w:p>
        </w:tc>
        <w:tc>
          <w:tcPr>
            <w:tcW w:w="397" w:type="dxa"/>
            <w:tcBorders>
              <w:top w:val="single" w:color="auto" w:sz="4" w:space="0"/>
              <w:left w:val="nil"/>
              <w:bottom w:val="single" w:color="auto" w:sz="4" w:space="0"/>
              <w:right w:val="single" w:color="auto" w:sz="4" w:space="0"/>
            </w:tcBorders>
            <w:noWrap/>
            <w:vAlign w:val="center"/>
          </w:tcPr>
          <w:p>
            <w:pPr>
              <w:widowControl/>
              <w:jc w:val="left"/>
              <w:outlineLvl w:val="1"/>
              <w:rPr>
                <w:rFonts w:ascii="仿宋_GB2312" w:hAnsi="宋体"/>
                <w:b/>
                <w:bCs/>
                <w:kern w:val="0"/>
                <w:sz w:val="18"/>
                <w:szCs w:val="18"/>
              </w:rPr>
            </w:pPr>
            <w:r>
              <w:rPr>
                <w:rFonts w:ascii="仿宋_GB2312" w:hAnsi="宋体"/>
                <w:b/>
                <w:bCs/>
                <w:kern w:val="0"/>
                <w:sz w:val="18"/>
                <w:szCs w:val="18"/>
              </w:rPr>
              <w:t>款</w:t>
            </w:r>
          </w:p>
        </w:tc>
        <w:tc>
          <w:tcPr>
            <w:tcW w:w="397" w:type="dxa"/>
            <w:tcBorders>
              <w:top w:val="single" w:color="auto" w:sz="4" w:space="0"/>
              <w:left w:val="nil"/>
              <w:bottom w:val="single" w:color="auto" w:sz="4" w:space="0"/>
              <w:right w:val="single" w:color="auto" w:sz="4" w:space="0"/>
            </w:tcBorders>
            <w:noWrap/>
            <w:vAlign w:val="center"/>
          </w:tcPr>
          <w:p>
            <w:pPr>
              <w:widowControl/>
              <w:jc w:val="left"/>
              <w:outlineLvl w:val="1"/>
              <w:rPr>
                <w:rFonts w:ascii="仿宋_GB2312" w:hAnsi="宋体"/>
                <w:b/>
                <w:bCs/>
                <w:kern w:val="0"/>
                <w:sz w:val="18"/>
                <w:szCs w:val="18"/>
              </w:rPr>
            </w:pPr>
            <w:r>
              <w:rPr>
                <w:rFonts w:ascii="仿宋_GB2312" w:hAnsi="宋体"/>
                <w:b/>
                <w:bCs/>
                <w:kern w:val="0"/>
                <w:sz w:val="18"/>
                <w:szCs w:val="18"/>
              </w:rPr>
              <w:t>项</w:t>
            </w:r>
          </w:p>
        </w:tc>
        <w:tc>
          <w:tcPr>
            <w:tcW w:w="748"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宋体"/>
                <w:b/>
                <w:bCs/>
                <w:kern w:val="0"/>
                <w:sz w:val="18"/>
                <w:szCs w:val="18"/>
              </w:rPr>
            </w:pPr>
          </w:p>
        </w:tc>
        <w:tc>
          <w:tcPr>
            <w:tcW w:w="2133" w:type="dxa"/>
            <w:gridSpan w:val="2"/>
            <w:vMerge w:val="continue"/>
            <w:tcBorders>
              <w:top w:val="single" w:color="auto" w:sz="4" w:space="0"/>
              <w:left w:val="nil"/>
              <w:bottom w:val="single" w:color="auto" w:sz="4" w:space="0"/>
              <w:right w:val="single" w:color="auto" w:sz="4" w:space="0"/>
            </w:tcBorders>
            <w:vAlign w:val="center"/>
          </w:tcPr>
          <w:p>
            <w:pPr>
              <w:widowControl/>
              <w:jc w:val="left"/>
              <w:rPr>
                <w:sz w:val="24"/>
                <w:szCs w:val="24"/>
              </w:rPr>
            </w:pPr>
          </w:p>
        </w:tc>
        <w:tc>
          <w:tcPr>
            <w:tcW w:w="565"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宋体"/>
                <w:b/>
                <w:bCs/>
                <w:kern w:val="0"/>
                <w:sz w:val="18"/>
                <w:szCs w:val="18"/>
              </w:rPr>
            </w:pPr>
          </w:p>
        </w:tc>
        <w:tc>
          <w:tcPr>
            <w:tcW w:w="397"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宋体"/>
                <w:b/>
                <w:bCs/>
                <w:kern w:val="0"/>
                <w:sz w:val="18"/>
                <w:szCs w:val="18"/>
              </w:rPr>
            </w:pPr>
          </w:p>
        </w:tc>
        <w:tc>
          <w:tcPr>
            <w:tcW w:w="397" w:type="dxa"/>
            <w:gridSpan w:val="2"/>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宋体"/>
                <w:b/>
                <w:bCs/>
                <w:kern w:val="0"/>
                <w:sz w:val="18"/>
                <w:szCs w:val="18"/>
              </w:rPr>
            </w:pPr>
          </w:p>
        </w:tc>
        <w:tc>
          <w:tcPr>
            <w:tcW w:w="397" w:type="dxa"/>
            <w:gridSpan w:val="2"/>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宋体"/>
                <w:b/>
                <w:bCs/>
                <w:kern w:val="0"/>
                <w:sz w:val="18"/>
                <w:szCs w:val="18"/>
              </w:rPr>
            </w:pPr>
          </w:p>
        </w:tc>
        <w:tc>
          <w:tcPr>
            <w:tcW w:w="397"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宋体"/>
                <w:b/>
                <w:bCs/>
                <w:kern w:val="0"/>
                <w:sz w:val="18"/>
                <w:szCs w:val="18"/>
              </w:rPr>
            </w:pPr>
          </w:p>
        </w:tc>
        <w:tc>
          <w:tcPr>
            <w:tcW w:w="578"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宋体"/>
                <w:b/>
                <w:bCs/>
                <w:kern w:val="0"/>
                <w:sz w:val="18"/>
                <w:szCs w:val="18"/>
              </w:rPr>
            </w:pPr>
          </w:p>
        </w:tc>
        <w:tc>
          <w:tcPr>
            <w:tcW w:w="397"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宋体"/>
                <w:b/>
                <w:bCs/>
                <w:kern w:val="0"/>
                <w:sz w:val="18"/>
                <w:szCs w:val="18"/>
              </w:rPr>
            </w:pPr>
          </w:p>
        </w:tc>
        <w:tc>
          <w:tcPr>
            <w:tcW w:w="578"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宋体"/>
                <w:b/>
                <w:bCs/>
                <w:kern w:val="0"/>
                <w:sz w:val="18"/>
                <w:szCs w:val="18"/>
              </w:rPr>
            </w:pPr>
          </w:p>
        </w:tc>
        <w:tc>
          <w:tcPr>
            <w:tcW w:w="397"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宋体"/>
                <w:b/>
                <w:bCs/>
                <w:kern w:val="0"/>
                <w:sz w:val="18"/>
                <w:szCs w:val="18"/>
              </w:rPr>
            </w:pPr>
          </w:p>
        </w:tc>
        <w:tc>
          <w:tcPr>
            <w:tcW w:w="397"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宋体"/>
                <w:b/>
                <w:bCs/>
                <w:kern w:val="0"/>
                <w:sz w:val="18"/>
                <w:szCs w:val="18"/>
              </w:rPr>
            </w:pPr>
          </w:p>
        </w:tc>
        <w:tc>
          <w:tcPr>
            <w:tcW w:w="397" w:type="dxa"/>
            <w:gridSpan w:val="2"/>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宋体"/>
                <w:b/>
                <w:bCs/>
                <w:kern w:val="0"/>
                <w:sz w:val="18"/>
                <w:szCs w:val="18"/>
              </w:rPr>
            </w:pPr>
          </w:p>
        </w:tc>
      </w:tr>
      <w:tr>
        <w:tblPrEx>
          <w:tblLayout w:type="fixed"/>
          <w:tblCellMar>
            <w:top w:w="0" w:type="dxa"/>
            <w:left w:w="108" w:type="dxa"/>
            <w:bottom w:w="0" w:type="dxa"/>
            <w:right w:w="108" w:type="dxa"/>
          </w:tblCellMar>
        </w:tblPrEx>
        <w:trPr>
          <w:gridAfter w:val="1"/>
          <w:wAfter w:w="81" w:type="dxa"/>
          <w:trHeight w:val="636" w:hRule="atLeast"/>
        </w:trPr>
        <w:tc>
          <w:tcPr>
            <w:tcW w:w="45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 w:val="16"/>
                <w:szCs w:val="16"/>
              </w:rPr>
            </w:pPr>
            <w:r>
              <w:rPr>
                <w:rFonts w:hint="eastAsia" w:ascii="宋体" w:hAnsi="宋体"/>
                <w:color w:val="000000"/>
                <w:kern w:val="0"/>
                <w:sz w:val="16"/>
                <w:szCs w:val="16"/>
              </w:rPr>
              <w:t>210</w:t>
            </w:r>
          </w:p>
        </w:tc>
        <w:tc>
          <w:tcPr>
            <w:tcW w:w="39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 w:val="16"/>
                <w:szCs w:val="16"/>
              </w:rPr>
            </w:pPr>
          </w:p>
        </w:tc>
        <w:tc>
          <w:tcPr>
            <w:tcW w:w="748"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卫生健康支出</w:t>
            </w:r>
          </w:p>
        </w:tc>
        <w:tc>
          <w:tcPr>
            <w:tcW w:w="2133" w:type="dxa"/>
            <w:gridSpan w:val="2"/>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65"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616</w:t>
            </w:r>
          </w:p>
        </w:tc>
        <w:tc>
          <w:tcPr>
            <w:tcW w:w="397"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616</w:t>
            </w: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r>
      <w:tr>
        <w:tblPrEx>
          <w:tblLayout w:type="fixed"/>
          <w:tblCellMar>
            <w:top w:w="0" w:type="dxa"/>
            <w:left w:w="108" w:type="dxa"/>
            <w:bottom w:w="0" w:type="dxa"/>
            <w:right w:w="108" w:type="dxa"/>
          </w:tblCellMar>
        </w:tblPrEx>
        <w:trPr>
          <w:gridAfter w:val="1"/>
          <w:wAfter w:w="81" w:type="dxa"/>
          <w:trHeight w:val="636" w:hRule="atLeast"/>
        </w:trPr>
        <w:tc>
          <w:tcPr>
            <w:tcW w:w="45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 w:val="16"/>
                <w:szCs w:val="16"/>
              </w:rPr>
            </w:pPr>
            <w:r>
              <w:rPr>
                <w:rFonts w:hint="eastAsia" w:ascii="宋体" w:hAnsi="宋体"/>
                <w:color w:val="000000"/>
                <w:kern w:val="0"/>
                <w:sz w:val="16"/>
                <w:szCs w:val="16"/>
              </w:rPr>
              <w:t>210</w:t>
            </w:r>
          </w:p>
        </w:tc>
        <w:tc>
          <w:tcPr>
            <w:tcW w:w="39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 w:val="16"/>
                <w:szCs w:val="16"/>
              </w:rPr>
            </w:pPr>
            <w:r>
              <w:rPr>
                <w:rFonts w:hint="eastAsia" w:ascii="宋体" w:hAnsi="宋体"/>
                <w:color w:val="000000"/>
                <w:kern w:val="0"/>
                <w:sz w:val="16"/>
                <w:szCs w:val="16"/>
              </w:rPr>
              <w:t>04</w:t>
            </w:r>
          </w:p>
        </w:tc>
        <w:tc>
          <w:tcPr>
            <w:tcW w:w="39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 w:val="16"/>
                <w:szCs w:val="16"/>
              </w:rPr>
            </w:pPr>
          </w:p>
        </w:tc>
        <w:tc>
          <w:tcPr>
            <w:tcW w:w="748"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公共卫生</w:t>
            </w:r>
          </w:p>
        </w:tc>
        <w:tc>
          <w:tcPr>
            <w:tcW w:w="2133" w:type="dxa"/>
            <w:gridSpan w:val="2"/>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65"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616</w:t>
            </w: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616</w:t>
            </w: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r>
      <w:tr>
        <w:tblPrEx>
          <w:tblLayout w:type="fixed"/>
          <w:tblCellMar>
            <w:top w:w="0" w:type="dxa"/>
            <w:left w:w="108" w:type="dxa"/>
            <w:bottom w:w="0" w:type="dxa"/>
            <w:right w:w="108" w:type="dxa"/>
          </w:tblCellMar>
        </w:tblPrEx>
        <w:trPr>
          <w:gridAfter w:val="1"/>
          <w:wAfter w:w="81" w:type="dxa"/>
          <w:trHeight w:val="842" w:hRule="atLeast"/>
        </w:trPr>
        <w:tc>
          <w:tcPr>
            <w:tcW w:w="45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 w:val="16"/>
                <w:szCs w:val="16"/>
              </w:rPr>
            </w:pPr>
            <w:r>
              <w:rPr>
                <w:rFonts w:hint="eastAsia" w:ascii="宋体" w:hAnsi="宋体"/>
                <w:color w:val="000000"/>
                <w:kern w:val="0"/>
                <w:sz w:val="16"/>
                <w:szCs w:val="16"/>
              </w:rPr>
              <w:t>210</w:t>
            </w:r>
          </w:p>
        </w:tc>
        <w:tc>
          <w:tcPr>
            <w:tcW w:w="39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 w:val="16"/>
                <w:szCs w:val="16"/>
              </w:rPr>
            </w:pPr>
            <w:r>
              <w:rPr>
                <w:rFonts w:hint="eastAsia" w:ascii="宋体" w:hAnsi="宋体"/>
                <w:color w:val="000000"/>
                <w:kern w:val="0"/>
                <w:sz w:val="16"/>
                <w:szCs w:val="16"/>
              </w:rPr>
              <w:t>04</w:t>
            </w:r>
          </w:p>
        </w:tc>
        <w:tc>
          <w:tcPr>
            <w:tcW w:w="39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 w:val="16"/>
                <w:szCs w:val="16"/>
              </w:rPr>
            </w:pPr>
            <w:r>
              <w:rPr>
                <w:rFonts w:hint="eastAsia" w:ascii="宋体" w:hAnsi="宋体"/>
                <w:color w:val="000000"/>
                <w:kern w:val="0"/>
                <w:sz w:val="16"/>
                <w:szCs w:val="16"/>
              </w:rPr>
              <w:t>10</w:t>
            </w:r>
          </w:p>
        </w:tc>
        <w:tc>
          <w:tcPr>
            <w:tcW w:w="748"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突发公共卫生事件应急处理</w:t>
            </w:r>
          </w:p>
        </w:tc>
        <w:tc>
          <w:tcPr>
            <w:tcW w:w="2133" w:type="dxa"/>
            <w:gridSpan w:val="2"/>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r>
              <w:rPr>
                <w:rFonts w:hint="eastAsia" w:ascii="宋体" w:hAnsi="宋体"/>
                <w:color w:val="000000"/>
                <w:kern w:val="0"/>
                <w:sz w:val="20"/>
                <w:szCs w:val="20"/>
              </w:rPr>
              <w:t>发热门诊呼吸道传染病发现能力提升项目</w:t>
            </w:r>
          </w:p>
        </w:tc>
        <w:tc>
          <w:tcPr>
            <w:tcW w:w="565"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616</w:t>
            </w: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616</w:t>
            </w: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r>
      <w:tr>
        <w:tblPrEx>
          <w:tblLayout w:type="fixed"/>
          <w:tblCellMar>
            <w:top w:w="0" w:type="dxa"/>
            <w:left w:w="108" w:type="dxa"/>
            <w:bottom w:w="0" w:type="dxa"/>
            <w:right w:w="108" w:type="dxa"/>
          </w:tblCellMar>
        </w:tblPrEx>
        <w:trPr>
          <w:gridAfter w:val="1"/>
          <w:wAfter w:w="81" w:type="dxa"/>
          <w:trHeight w:val="636" w:hRule="atLeast"/>
        </w:trPr>
        <w:tc>
          <w:tcPr>
            <w:tcW w:w="45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 w:val="16"/>
                <w:szCs w:val="16"/>
              </w:rPr>
            </w:pPr>
          </w:p>
        </w:tc>
        <w:tc>
          <w:tcPr>
            <w:tcW w:w="748"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2133" w:type="dxa"/>
            <w:gridSpan w:val="2"/>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65"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397"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r>
      <w:tr>
        <w:tblPrEx>
          <w:tblLayout w:type="fixed"/>
          <w:tblCellMar>
            <w:top w:w="0" w:type="dxa"/>
            <w:left w:w="108" w:type="dxa"/>
            <w:bottom w:w="0" w:type="dxa"/>
            <w:right w:w="108" w:type="dxa"/>
          </w:tblCellMar>
        </w:tblPrEx>
        <w:trPr>
          <w:gridAfter w:val="1"/>
          <w:wAfter w:w="81" w:type="dxa"/>
          <w:trHeight w:val="636" w:hRule="atLeast"/>
        </w:trPr>
        <w:tc>
          <w:tcPr>
            <w:tcW w:w="45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 w:val="16"/>
                <w:szCs w:val="16"/>
              </w:rPr>
            </w:pPr>
          </w:p>
        </w:tc>
        <w:tc>
          <w:tcPr>
            <w:tcW w:w="748"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2133" w:type="dxa"/>
            <w:gridSpan w:val="2"/>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65"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r>
      <w:tr>
        <w:tblPrEx>
          <w:tblLayout w:type="fixed"/>
          <w:tblCellMar>
            <w:top w:w="0" w:type="dxa"/>
            <w:left w:w="108" w:type="dxa"/>
            <w:bottom w:w="0" w:type="dxa"/>
            <w:right w:w="108" w:type="dxa"/>
          </w:tblCellMar>
        </w:tblPrEx>
        <w:trPr>
          <w:gridAfter w:val="1"/>
          <w:wAfter w:w="81" w:type="dxa"/>
          <w:trHeight w:val="636" w:hRule="atLeast"/>
        </w:trPr>
        <w:tc>
          <w:tcPr>
            <w:tcW w:w="45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 w:val="16"/>
                <w:szCs w:val="16"/>
              </w:rPr>
            </w:pPr>
          </w:p>
        </w:tc>
        <w:tc>
          <w:tcPr>
            <w:tcW w:w="748"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2133" w:type="dxa"/>
            <w:gridSpan w:val="2"/>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65"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r>
      <w:tr>
        <w:tblPrEx>
          <w:tblLayout w:type="fixed"/>
          <w:tblCellMar>
            <w:top w:w="0" w:type="dxa"/>
            <w:left w:w="108" w:type="dxa"/>
            <w:bottom w:w="0" w:type="dxa"/>
            <w:right w:w="108" w:type="dxa"/>
          </w:tblCellMar>
        </w:tblPrEx>
        <w:trPr>
          <w:gridAfter w:val="1"/>
          <w:wAfter w:w="81" w:type="dxa"/>
          <w:trHeight w:val="636" w:hRule="atLeast"/>
        </w:trPr>
        <w:tc>
          <w:tcPr>
            <w:tcW w:w="4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748"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133" w:type="dxa"/>
            <w:gridSpan w:val="2"/>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65"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r>
      <w:tr>
        <w:tblPrEx>
          <w:tblLayout w:type="fixed"/>
          <w:tblCellMar>
            <w:top w:w="0" w:type="dxa"/>
            <w:left w:w="108" w:type="dxa"/>
            <w:bottom w:w="0" w:type="dxa"/>
            <w:right w:w="108" w:type="dxa"/>
          </w:tblCellMar>
        </w:tblPrEx>
        <w:trPr>
          <w:gridAfter w:val="1"/>
          <w:wAfter w:w="81" w:type="dxa"/>
          <w:trHeight w:val="636" w:hRule="atLeast"/>
        </w:trPr>
        <w:tc>
          <w:tcPr>
            <w:tcW w:w="4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748"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133" w:type="dxa"/>
            <w:gridSpan w:val="2"/>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65"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r>
      <w:tr>
        <w:tblPrEx>
          <w:tblLayout w:type="fixed"/>
          <w:tblCellMar>
            <w:top w:w="0" w:type="dxa"/>
            <w:left w:w="108" w:type="dxa"/>
            <w:bottom w:w="0" w:type="dxa"/>
            <w:right w:w="108" w:type="dxa"/>
          </w:tblCellMar>
        </w:tblPrEx>
        <w:trPr>
          <w:gridAfter w:val="1"/>
          <w:wAfter w:w="81" w:type="dxa"/>
          <w:trHeight w:val="636" w:hRule="atLeast"/>
        </w:trPr>
        <w:tc>
          <w:tcPr>
            <w:tcW w:w="4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748"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133" w:type="dxa"/>
            <w:gridSpan w:val="2"/>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65"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r>
      <w:tr>
        <w:tblPrEx>
          <w:tblLayout w:type="fixed"/>
          <w:tblCellMar>
            <w:top w:w="0" w:type="dxa"/>
            <w:left w:w="108" w:type="dxa"/>
            <w:bottom w:w="0" w:type="dxa"/>
            <w:right w:w="108" w:type="dxa"/>
          </w:tblCellMar>
        </w:tblPrEx>
        <w:trPr>
          <w:gridAfter w:val="1"/>
          <w:wAfter w:w="81" w:type="dxa"/>
          <w:trHeight w:val="636" w:hRule="atLeast"/>
        </w:trPr>
        <w:tc>
          <w:tcPr>
            <w:tcW w:w="4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748"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133" w:type="dxa"/>
            <w:gridSpan w:val="2"/>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565"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r>
      <w:tr>
        <w:tblPrEx>
          <w:tblLayout w:type="fixed"/>
          <w:tblCellMar>
            <w:top w:w="0" w:type="dxa"/>
            <w:left w:w="108" w:type="dxa"/>
            <w:bottom w:w="0" w:type="dxa"/>
            <w:right w:w="108" w:type="dxa"/>
          </w:tblCellMar>
        </w:tblPrEx>
        <w:trPr>
          <w:gridAfter w:val="1"/>
          <w:wAfter w:w="81" w:type="dxa"/>
          <w:trHeight w:val="647" w:hRule="atLeast"/>
        </w:trPr>
        <w:tc>
          <w:tcPr>
            <w:tcW w:w="45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397"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748"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133"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合计</w:t>
            </w:r>
          </w:p>
        </w:tc>
        <w:tc>
          <w:tcPr>
            <w:tcW w:w="565"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616</w:t>
            </w: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20"/>
                <w:szCs w:val="20"/>
              </w:rPr>
            </w:pPr>
            <w:r>
              <w:rPr>
                <w:rFonts w:hint="eastAsia" w:ascii="宋体" w:hAnsi="宋体"/>
                <w:color w:val="000000"/>
                <w:kern w:val="0"/>
                <w:sz w:val="20"/>
                <w:szCs w:val="20"/>
              </w:rPr>
              <w:t>616</w:t>
            </w: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578"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c>
          <w:tcPr>
            <w:tcW w:w="397" w:type="dxa"/>
            <w:gridSpan w:val="2"/>
            <w:tcBorders>
              <w:top w:val="single" w:color="auto" w:sz="4" w:space="0"/>
              <w:left w:val="nil"/>
              <w:bottom w:val="single" w:color="auto" w:sz="4" w:space="0"/>
              <w:right w:val="single" w:color="auto" w:sz="4" w:space="0"/>
            </w:tcBorders>
            <w:vAlign w:val="center"/>
          </w:tcPr>
          <w:p>
            <w:pPr>
              <w:widowControl/>
              <w:outlineLvl w:val="1"/>
              <w:rPr>
                <w:rFonts w:ascii="仿宋_GB2312" w:hAnsi="宋体"/>
                <w:kern w:val="0"/>
                <w:sz w:val="32"/>
                <w:szCs w:val="32"/>
              </w:rPr>
            </w:pPr>
          </w:p>
        </w:tc>
      </w:tr>
    </w:tbl>
    <w:p>
      <w:pPr>
        <w:widowControl/>
        <w:outlineLvl w:val="1"/>
        <w:rPr>
          <w:rFonts w:ascii="仿宋_GB2312" w:hAnsi="宋体"/>
          <w:b/>
          <w:bCs/>
          <w:kern w:val="0"/>
          <w:sz w:val="32"/>
          <w:szCs w:val="32"/>
        </w:rPr>
      </w:pPr>
      <w:r>
        <w:rPr>
          <w:rFonts w:ascii="仿宋_GB2312" w:hAnsi="宋体"/>
          <w:b/>
          <w:bCs/>
          <w:kern w:val="0"/>
          <w:sz w:val="28"/>
          <w:szCs w:val="28"/>
        </w:rPr>
        <w:br w:type="page"/>
      </w:r>
      <w:r>
        <w:rPr>
          <w:rFonts w:ascii="仿宋_GB2312" w:hAnsi="仿宋_GB2312"/>
          <w:b/>
          <w:bCs/>
          <w:kern w:val="0"/>
          <w:sz w:val="32"/>
          <w:szCs w:val="32"/>
        </w:rPr>
        <w:t>表八：</w:t>
      </w:r>
    </w:p>
    <w:p>
      <w:pPr>
        <w:widowControl/>
        <w:jc w:val="center"/>
        <w:outlineLvl w:val="1"/>
        <w:rPr>
          <w:rFonts w:ascii="仿宋_GB2312" w:hAnsi="宋体"/>
          <w:b/>
          <w:bCs/>
          <w:kern w:val="0"/>
          <w:sz w:val="32"/>
          <w:szCs w:val="32"/>
        </w:rPr>
      </w:pPr>
      <w:r>
        <w:rPr>
          <w:rFonts w:ascii="仿宋_GB2312" w:hAnsi="仿宋_GB2312"/>
          <w:b/>
          <w:bCs/>
          <w:kern w:val="0"/>
          <w:sz w:val="32"/>
          <w:szCs w:val="32"/>
        </w:rPr>
        <w:t>一般公共预算</w:t>
      </w:r>
      <w:r>
        <w:rPr>
          <w:rFonts w:ascii="仿宋_GB2312" w:hAnsi="宋体"/>
          <w:b/>
          <w:bCs/>
          <w:kern w:val="0"/>
          <w:sz w:val="32"/>
          <w:szCs w:val="32"/>
        </w:rPr>
        <w:t>“三公”经费支出情况表</w:t>
      </w:r>
    </w:p>
    <w:p>
      <w:pPr>
        <w:widowControl/>
        <w:jc w:val="center"/>
        <w:outlineLvl w:val="1"/>
        <w:rPr>
          <w:rFonts w:ascii="仿宋_GB2312" w:hAnsi="宋体"/>
          <w:b/>
          <w:bCs/>
          <w:kern w:val="0"/>
          <w:sz w:val="32"/>
          <w:szCs w:val="32"/>
        </w:rPr>
      </w:pPr>
      <w:r>
        <w:rPr>
          <w:rFonts w:ascii="仿宋_GB2312" w:hAnsi="宋体"/>
          <w:b/>
          <w:bCs/>
          <w:kern w:val="0"/>
          <w:sz w:val="32"/>
          <w:szCs w:val="32"/>
        </w:rPr>
        <w:t xml:space="preserve"> </w:t>
      </w:r>
    </w:p>
    <w:p>
      <w:pPr>
        <w:widowControl/>
        <w:spacing w:line="280" w:lineRule="exact"/>
        <w:outlineLvl w:val="1"/>
        <w:rPr>
          <w:rFonts w:ascii="仿宋_GB2312" w:hAnsi="宋体" w:eastAsia="仿宋_GB2312"/>
          <w:kern w:val="0"/>
          <w:sz w:val="18"/>
          <w:szCs w:val="18"/>
        </w:rPr>
      </w:pPr>
      <w:r>
        <w:rPr>
          <w:rFonts w:hint="eastAsia" w:ascii="仿宋_GB2312" w:hAnsi="宋体" w:eastAsia="仿宋_GB2312"/>
          <w:kern w:val="0"/>
          <w:sz w:val="18"/>
          <w:szCs w:val="18"/>
        </w:rPr>
        <w:t>编制部门：伊州区人民医院                                                              单位：万元</w:t>
      </w:r>
    </w:p>
    <w:tbl>
      <w:tblPr>
        <w:tblStyle w:val="4"/>
        <w:tblW w:w="9240" w:type="dxa"/>
        <w:tblInd w:w="-173" w:type="dxa"/>
        <w:tblLayout w:type="fixed"/>
        <w:tblCellMar>
          <w:top w:w="0" w:type="dxa"/>
          <w:left w:w="108" w:type="dxa"/>
          <w:bottom w:w="0" w:type="dxa"/>
          <w:right w:w="108" w:type="dxa"/>
        </w:tblCellMar>
      </w:tblPr>
      <w:tblGrid>
        <w:gridCol w:w="1575"/>
        <w:gridCol w:w="1417"/>
        <w:gridCol w:w="1559"/>
        <w:gridCol w:w="1418"/>
        <w:gridCol w:w="1559"/>
        <w:gridCol w:w="1712"/>
      </w:tblGrid>
      <w:tr>
        <w:tblPrEx>
          <w:tblLayout w:type="fixed"/>
          <w:tblCellMar>
            <w:top w:w="0" w:type="dxa"/>
            <w:left w:w="108" w:type="dxa"/>
            <w:bottom w:w="0" w:type="dxa"/>
            <w:right w:w="108" w:type="dxa"/>
          </w:tblCellMar>
        </w:tblPrEx>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b/>
                <w:bCs/>
                <w:color w:val="000000"/>
                <w:kern w:val="0"/>
                <w:sz w:val="22"/>
                <w:szCs w:val="22"/>
              </w:rPr>
            </w:pPr>
            <w:r>
              <w:rPr>
                <w:rFonts w:ascii="仿宋_GB2312" w:hAnsi="宋体"/>
                <w:b/>
                <w:bCs/>
                <w:color w:val="000000"/>
                <w:kern w:val="0"/>
                <w:sz w:val="22"/>
                <w:szCs w:val="22"/>
              </w:rPr>
              <w:t>合  计</w:t>
            </w:r>
          </w:p>
        </w:tc>
        <w:tc>
          <w:tcPr>
            <w:tcW w:w="1417"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b/>
                <w:bCs/>
                <w:color w:val="000000"/>
                <w:kern w:val="0"/>
                <w:sz w:val="22"/>
                <w:szCs w:val="22"/>
              </w:rPr>
            </w:pPr>
            <w:r>
              <w:rPr>
                <w:rFonts w:ascii="仿宋_GB2312" w:hAnsi="宋体"/>
                <w:b/>
                <w:bCs/>
                <w:color w:val="000000"/>
                <w:kern w:val="0"/>
                <w:sz w:val="22"/>
                <w:szCs w:val="22"/>
              </w:rPr>
              <w:t>因公出国（境）费</w:t>
            </w:r>
          </w:p>
        </w:tc>
        <w:tc>
          <w:tcPr>
            <w:tcW w:w="4536"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b/>
                <w:bCs/>
                <w:color w:val="000000"/>
                <w:kern w:val="0"/>
                <w:sz w:val="22"/>
                <w:szCs w:val="22"/>
              </w:rPr>
            </w:pPr>
            <w:r>
              <w:rPr>
                <w:rFonts w:ascii="仿宋_GB2312" w:hAnsi="宋体"/>
                <w:b/>
                <w:bCs/>
                <w:color w:val="000000"/>
                <w:kern w:val="0"/>
                <w:sz w:val="22"/>
                <w:szCs w:val="22"/>
              </w:rPr>
              <w:t>公务用车购置及运行费</w:t>
            </w:r>
          </w:p>
        </w:tc>
        <w:tc>
          <w:tcPr>
            <w:tcW w:w="1712" w:type="dxa"/>
            <w:vMerge w:val="restart"/>
            <w:tcBorders>
              <w:top w:val="single" w:color="auto" w:sz="4" w:space="0"/>
              <w:left w:val="nil"/>
              <w:bottom w:val="single" w:color="auto" w:sz="4" w:space="0"/>
              <w:right w:val="single" w:color="auto" w:sz="4" w:space="0"/>
            </w:tcBorders>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公务接待费</w:t>
            </w:r>
          </w:p>
        </w:tc>
      </w:tr>
      <w:tr>
        <w:tblPrEx>
          <w:tblLayout w:type="fixed"/>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b/>
                <w:bCs/>
                <w:color w:val="000000"/>
                <w:kern w:val="0"/>
                <w:sz w:val="22"/>
                <w:szCs w:val="22"/>
              </w:rPr>
            </w:pPr>
          </w:p>
        </w:tc>
        <w:tc>
          <w:tcPr>
            <w:tcW w:w="1417" w:type="dxa"/>
            <w:tcBorders>
              <w:top w:val="single" w:color="auto" w:sz="4" w:space="0"/>
              <w:left w:val="nil"/>
              <w:bottom w:val="single" w:color="auto" w:sz="4" w:space="0"/>
              <w:right w:val="single" w:color="auto" w:sz="4" w:space="0"/>
            </w:tcBorders>
            <w:vAlign w:val="center"/>
          </w:tcPr>
          <w:p>
            <w:pPr>
              <w:widowControl/>
              <w:jc w:val="left"/>
              <w:rPr>
                <w:rFonts w:ascii="仿宋_GB2312" w:hAnsi="宋体"/>
                <w:b/>
                <w:bCs/>
                <w:color w:val="000000"/>
                <w:kern w:val="0"/>
                <w:sz w:val="22"/>
                <w:szCs w:val="22"/>
              </w:rPr>
            </w:pPr>
            <w:r>
              <w:rPr>
                <w:rFonts w:ascii="仿宋_GB2312" w:hAnsi="宋体"/>
                <w:b/>
                <w:bCs/>
                <w:color w:val="000000"/>
                <w:kern w:val="0"/>
                <w:sz w:val="22"/>
                <w:szCs w:val="22"/>
              </w:rPr>
              <w:t>合计</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b/>
                <w:bCs/>
                <w:color w:val="000000"/>
                <w:kern w:val="0"/>
                <w:sz w:val="22"/>
                <w:szCs w:val="22"/>
              </w:rPr>
            </w:pPr>
            <w:r>
              <w:rPr>
                <w:rFonts w:ascii="仿宋_GB2312" w:hAnsi="宋体"/>
                <w:b/>
                <w:bCs/>
                <w:color w:val="000000"/>
                <w:kern w:val="0"/>
                <w:sz w:val="22"/>
                <w:szCs w:val="22"/>
              </w:rPr>
              <w:t>合  计</w:t>
            </w:r>
          </w:p>
        </w:tc>
        <w:tc>
          <w:tcPr>
            <w:tcW w:w="1418" w:type="dxa"/>
            <w:tcBorders>
              <w:top w:val="nil"/>
              <w:left w:val="nil"/>
              <w:bottom w:val="single" w:color="auto" w:sz="4" w:space="0"/>
              <w:right w:val="single" w:color="auto" w:sz="4" w:space="0"/>
            </w:tcBorders>
            <w:vAlign w:val="center"/>
          </w:tcPr>
          <w:p>
            <w:pPr>
              <w:widowControl/>
              <w:jc w:val="center"/>
              <w:rPr>
                <w:rFonts w:ascii="仿宋_GB2312" w:hAnsi="宋体"/>
                <w:b/>
                <w:bCs/>
                <w:color w:val="000000"/>
                <w:kern w:val="0"/>
                <w:sz w:val="22"/>
                <w:szCs w:val="22"/>
              </w:rPr>
            </w:pPr>
            <w:r>
              <w:rPr>
                <w:rFonts w:ascii="仿宋_GB2312" w:hAnsi="宋体"/>
                <w:b/>
                <w:bCs/>
                <w:color w:val="000000"/>
                <w:kern w:val="0"/>
                <w:sz w:val="22"/>
                <w:szCs w:val="22"/>
              </w:rPr>
              <w:t>公务用车购置费</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b/>
                <w:bCs/>
                <w:color w:val="000000"/>
                <w:kern w:val="0"/>
                <w:sz w:val="22"/>
                <w:szCs w:val="22"/>
              </w:rPr>
            </w:pPr>
            <w:r>
              <w:rPr>
                <w:rFonts w:ascii="仿宋_GB2312" w:hAnsi="宋体"/>
                <w:b/>
                <w:bCs/>
                <w:color w:val="000000"/>
                <w:kern w:val="0"/>
                <w:sz w:val="22"/>
                <w:szCs w:val="22"/>
              </w:rPr>
              <w:t>公务用车运行费</w:t>
            </w:r>
          </w:p>
        </w:tc>
        <w:tc>
          <w:tcPr>
            <w:tcW w:w="1712"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b/>
                <w:bCs/>
                <w:color w:val="000000"/>
                <w:kern w:val="0"/>
                <w:sz w:val="22"/>
                <w:szCs w:val="22"/>
              </w:rPr>
            </w:pPr>
          </w:p>
        </w:tc>
      </w:tr>
      <w:tr>
        <w:tblPrEx>
          <w:tblLayout w:type="fixed"/>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41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41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1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58" w:hRule="atLeast"/>
        </w:trPr>
        <w:tc>
          <w:tcPr>
            <w:tcW w:w="157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41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41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1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55" w:hRule="atLeast"/>
        </w:trPr>
        <w:tc>
          <w:tcPr>
            <w:tcW w:w="157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41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41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1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63" w:hRule="atLeast"/>
        </w:trPr>
        <w:tc>
          <w:tcPr>
            <w:tcW w:w="157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41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41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1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83" w:hRule="atLeast"/>
        </w:trPr>
        <w:tc>
          <w:tcPr>
            <w:tcW w:w="157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41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41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1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bl>
    <w:p>
      <w:pPr>
        <w:widowControl/>
        <w:outlineLvl w:val="1"/>
        <w:rPr>
          <w:rFonts w:ascii="仿宋_GB2312" w:hAnsi="宋体"/>
          <w:b/>
          <w:bCs/>
          <w:kern w:val="0"/>
          <w:sz w:val="32"/>
          <w:szCs w:val="32"/>
        </w:rPr>
      </w:pPr>
      <w:r>
        <w:rPr>
          <w:rFonts w:hint="eastAsia" w:ascii="仿宋_GB2312" w:hAnsi="仿宋_GB2312"/>
          <w:b/>
          <w:bCs/>
          <w:kern w:val="0"/>
        </w:rPr>
        <w:t>备注：本年无一般公共预算“三公”经费支出预算安排，此表为空表。</w:t>
      </w:r>
      <w:r>
        <w:rPr>
          <w:rFonts w:ascii="仿宋_GB2312" w:hAnsi="宋体"/>
          <w:b/>
          <w:bCs/>
          <w:kern w:val="0"/>
          <w:sz w:val="28"/>
          <w:szCs w:val="28"/>
        </w:rPr>
        <w:br w:type="page"/>
      </w:r>
      <w:r>
        <w:rPr>
          <w:rFonts w:ascii="仿宋_GB2312" w:hAnsi="仿宋_GB2312"/>
          <w:b/>
          <w:bCs/>
          <w:kern w:val="0"/>
          <w:sz w:val="32"/>
          <w:szCs w:val="32"/>
        </w:rPr>
        <w:t>表九：</w:t>
      </w:r>
    </w:p>
    <w:p>
      <w:pPr>
        <w:widowControl/>
        <w:spacing w:line="280" w:lineRule="exact"/>
        <w:jc w:val="center"/>
        <w:outlineLvl w:val="1"/>
        <w:rPr>
          <w:rFonts w:ascii="仿宋_GB2312" w:hAnsi="宋体"/>
          <w:b/>
          <w:bCs/>
          <w:kern w:val="0"/>
          <w:sz w:val="32"/>
          <w:szCs w:val="32"/>
        </w:rPr>
      </w:pPr>
      <w:r>
        <w:rPr>
          <w:rFonts w:ascii="仿宋_GB2312" w:hAnsi="仿宋_GB2312"/>
          <w:b/>
          <w:bCs/>
          <w:kern w:val="0"/>
          <w:sz w:val="32"/>
          <w:szCs w:val="32"/>
        </w:rPr>
        <w:t>政府性基金预算支出情况表</w:t>
      </w:r>
    </w:p>
    <w:p>
      <w:pPr>
        <w:widowControl/>
        <w:spacing w:line="280" w:lineRule="exact"/>
        <w:outlineLvl w:val="1"/>
        <w:rPr>
          <w:rFonts w:ascii="仿宋_GB2312" w:hAnsi="宋体" w:eastAsia="仿宋_GB2312"/>
          <w:kern w:val="0"/>
          <w:sz w:val="18"/>
          <w:szCs w:val="18"/>
        </w:rPr>
      </w:pPr>
      <w:r>
        <w:rPr>
          <w:rFonts w:hint="eastAsia" w:ascii="仿宋_GB2312" w:hAnsi="宋体" w:eastAsia="仿宋_GB2312"/>
          <w:kern w:val="0"/>
          <w:sz w:val="18"/>
          <w:szCs w:val="18"/>
        </w:rPr>
        <w:t>编制部门：伊州区人民医院                                                     单位：万元</w:t>
      </w:r>
    </w:p>
    <w:tbl>
      <w:tblPr>
        <w:tblStyle w:val="4"/>
        <w:tblW w:w="9214" w:type="dxa"/>
        <w:tblInd w:w="-34" w:type="dxa"/>
        <w:tblLayout w:type="fixed"/>
        <w:tblCellMar>
          <w:top w:w="0" w:type="dxa"/>
          <w:left w:w="108" w:type="dxa"/>
          <w:bottom w:w="0" w:type="dxa"/>
          <w:right w:w="108" w:type="dxa"/>
        </w:tblCellMar>
      </w:tblPr>
      <w:tblGrid>
        <w:gridCol w:w="585"/>
        <w:gridCol w:w="457"/>
        <w:gridCol w:w="699"/>
        <w:gridCol w:w="2544"/>
        <w:gridCol w:w="1669"/>
        <w:gridCol w:w="1701"/>
        <w:gridCol w:w="1559"/>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b/>
                <w:bCs/>
                <w:color w:val="000000"/>
                <w:kern w:val="0"/>
                <w:sz w:val="24"/>
                <w:szCs w:val="24"/>
              </w:rPr>
            </w:pPr>
            <w:r>
              <w:rPr>
                <w:rFonts w:ascii="仿宋_GB2312" w:hAnsi="宋体"/>
                <w:b/>
                <w:bCs/>
                <w:color w:val="000000"/>
                <w:kern w:val="0"/>
                <w:sz w:val="24"/>
                <w:szCs w:val="24"/>
              </w:rPr>
              <w:t>项  目</w:t>
            </w:r>
          </w:p>
        </w:tc>
        <w:tc>
          <w:tcPr>
            <w:tcW w:w="4929" w:type="dxa"/>
            <w:gridSpan w:val="3"/>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b/>
                <w:bCs/>
                <w:color w:val="000000"/>
                <w:kern w:val="0"/>
                <w:sz w:val="24"/>
                <w:szCs w:val="24"/>
              </w:rPr>
            </w:pPr>
            <w:r>
              <w:rPr>
                <w:rFonts w:ascii="仿宋_GB2312" w:hAnsi="宋体"/>
                <w:b/>
                <w:bCs/>
                <w:color w:val="000000"/>
                <w:kern w:val="0"/>
                <w:sz w:val="24"/>
                <w:szCs w:val="24"/>
              </w:rPr>
              <w:t>政府性基金预算支出</w:t>
            </w:r>
          </w:p>
        </w:tc>
      </w:tr>
      <w:tr>
        <w:tblPrEx>
          <w:tblLayout w:type="fixed"/>
          <w:tblCellMar>
            <w:top w:w="0" w:type="dxa"/>
            <w:left w:w="108" w:type="dxa"/>
            <w:bottom w:w="0" w:type="dxa"/>
            <w:right w:w="108" w:type="dxa"/>
          </w:tblCellMar>
        </w:tblPrEx>
        <w:trPr>
          <w:trHeight w:val="360" w:hRule="atLeast"/>
        </w:trPr>
        <w:tc>
          <w:tcPr>
            <w:tcW w:w="1741"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b/>
                <w:bCs/>
                <w:color w:val="000000"/>
                <w:kern w:val="0"/>
                <w:sz w:val="18"/>
                <w:szCs w:val="18"/>
              </w:rPr>
            </w:pPr>
            <w:r>
              <w:rPr>
                <w:rFonts w:ascii="仿宋_GB2312" w:hAnsi="宋体"/>
                <w:b/>
                <w:bCs/>
                <w:color w:val="000000"/>
                <w:kern w:val="0"/>
                <w:sz w:val="18"/>
                <w:szCs w:val="18"/>
              </w:rPr>
              <w:t>功能分类科目编码</w:t>
            </w:r>
          </w:p>
        </w:tc>
        <w:tc>
          <w:tcPr>
            <w:tcW w:w="2544"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b/>
                <w:bCs/>
                <w:color w:val="000000"/>
                <w:kern w:val="0"/>
                <w:sz w:val="24"/>
                <w:szCs w:val="24"/>
              </w:rPr>
            </w:pPr>
            <w:r>
              <w:rPr>
                <w:rFonts w:ascii="仿宋_GB2312" w:hAnsi="宋体"/>
                <w:b/>
                <w:bCs/>
                <w:color w:val="000000"/>
                <w:kern w:val="0"/>
                <w:sz w:val="24"/>
                <w:szCs w:val="24"/>
              </w:rPr>
              <w:t>功能分类科目名称</w:t>
            </w:r>
          </w:p>
        </w:tc>
        <w:tc>
          <w:tcPr>
            <w:tcW w:w="1669"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b/>
                <w:bCs/>
                <w:color w:val="000000"/>
                <w:kern w:val="0"/>
                <w:sz w:val="24"/>
                <w:szCs w:val="24"/>
              </w:rPr>
            </w:pPr>
            <w:r>
              <w:rPr>
                <w:rFonts w:ascii="仿宋_GB2312" w:hAnsi="宋体"/>
                <w:b/>
                <w:bCs/>
                <w:color w:val="000000"/>
                <w:kern w:val="0"/>
                <w:sz w:val="24"/>
                <w:szCs w:val="24"/>
              </w:rPr>
              <w:t>合 计</w:t>
            </w:r>
          </w:p>
        </w:tc>
        <w:tc>
          <w:tcPr>
            <w:tcW w:w="1701"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b/>
                <w:bCs/>
                <w:color w:val="000000"/>
                <w:kern w:val="0"/>
                <w:sz w:val="24"/>
                <w:szCs w:val="24"/>
              </w:rPr>
            </w:pPr>
            <w:r>
              <w:rPr>
                <w:rFonts w:ascii="仿宋_GB2312" w:hAnsi="宋体"/>
                <w:b/>
                <w:bCs/>
                <w:color w:val="000000"/>
                <w:kern w:val="0"/>
                <w:sz w:val="24"/>
                <w:szCs w:val="24"/>
              </w:rPr>
              <w:t>基本支出</w:t>
            </w:r>
          </w:p>
        </w:tc>
        <w:tc>
          <w:tcPr>
            <w:tcW w:w="1559"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b/>
                <w:bCs/>
                <w:color w:val="000000"/>
                <w:kern w:val="0"/>
                <w:sz w:val="24"/>
                <w:szCs w:val="24"/>
              </w:rPr>
            </w:pPr>
            <w:r>
              <w:rPr>
                <w:rFonts w:ascii="仿宋_GB2312" w:hAnsi="宋体"/>
                <w:b/>
                <w:bCs/>
                <w:color w:val="000000"/>
                <w:kern w:val="0"/>
                <w:sz w:val="24"/>
                <w:szCs w:val="24"/>
              </w:rPr>
              <w:t>项目支出</w:t>
            </w:r>
          </w:p>
        </w:tc>
      </w:tr>
      <w:tr>
        <w:tblPrEx>
          <w:tblLayout w:type="fixed"/>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b/>
                <w:bCs/>
                <w:color w:val="000000"/>
                <w:kern w:val="0"/>
                <w:sz w:val="24"/>
                <w:szCs w:val="24"/>
              </w:rPr>
            </w:pPr>
            <w:r>
              <w:rPr>
                <w:rFonts w:ascii="仿宋_GB2312" w:hAnsi="宋体"/>
                <w:b/>
                <w:bCs/>
                <w:color w:val="000000"/>
                <w:kern w:val="0"/>
                <w:sz w:val="24"/>
                <w:szCs w:val="24"/>
              </w:rPr>
              <w:t>类</w:t>
            </w:r>
          </w:p>
        </w:tc>
        <w:tc>
          <w:tcPr>
            <w:tcW w:w="4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b/>
                <w:bCs/>
                <w:color w:val="000000"/>
                <w:kern w:val="0"/>
                <w:sz w:val="24"/>
                <w:szCs w:val="24"/>
              </w:rPr>
            </w:pPr>
            <w:r>
              <w:rPr>
                <w:rFonts w:ascii="仿宋_GB2312" w:hAnsi="宋体"/>
                <w:b/>
                <w:bCs/>
                <w:color w:val="000000"/>
                <w:kern w:val="0"/>
                <w:sz w:val="24"/>
                <w:szCs w:val="24"/>
              </w:rPr>
              <w:t>款</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b/>
                <w:bCs/>
                <w:color w:val="000000"/>
                <w:kern w:val="0"/>
                <w:sz w:val="24"/>
                <w:szCs w:val="24"/>
              </w:rPr>
            </w:pPr>
            <w:r>
              <w:rPr>
                <w:rFonts w:ascii="仿宋_GB2312" w:hAnsi="宋体"/>
                <w:b/>
                <w:bCs/>
                <w:color w:val="000000"/>
                <w:kern w:val="0"/>
                <w:sz w:val="24"/>
                <w:szCs w:val="24"/>
              </w:rPr>
              <w:t>项</w:t>
            </w:r>
          </w:p>
        </w:tc>
        <w:tc>
          <w:tcPr>
            <w:tcW w:w="2544" w:type="dxa"/>
            <w:vMerge w:val="continue"/>
            <w:tcBorders>
              <w:top w:val="nil"/>
              <w:left w:val="nil"/>
              <w:bottom w:val="single" w:color="000000" w:sz="4" w:space="0"/>
              <w:right w:val="single" w:color="auto" w:sz="4" w:space="0"/>
            </w:tcBorders>
            <w:vAlign w:val="center"/>
          </w:tcPr>
          <w:p>
            <w:pPr>
              <w:widowControl/>
              <w:jc w:val="left"/>
              <w:rPr>
                <w:rFonts w:ascii="仿宋_GB2312" w:hAnsi="宋体"/>
                <w:b/>
                <w:bCs/>
                <w:color w:val="000000"/>
                <w:kern w:val="0"/>
                <w:sz w:val="24"/>
                <w:szCs w:val="24"/>
              </w:rPr>
            </w:pPr>
          </w:p>
        </w:tc>
        <w:tc>
          <w:tcPr>
            <w:tcW w:w="1669" w:type="dxa"/>
            <w:vMerge w:val="continue"/>
            <w:tcBorders>
              <w:top w:val="nil"/>
              <w:left w:val="nil"/>
              <w:bottom w:val="single" w:color="000000" w:sz="4" w:space="0"/>
              <w:right w:val="single" w:color="auto" w:sz="4" w:space="0"/>
            </w:tcBorders>
            <w:vAlign w:val="center"/>
          </w:tcPr>
          <w:p>
            <w:pPr>
              <w:widowControl/>
              <w:jc w:val="left"/>
              <w:rPr>
                <w:rFonts w:ascii="仿宋_GB2312" w:hAnsi="宋体"/>
                <w:b/>
                <w:bCs/>
                <w:color w:val="000000"/>
                <w:kern w:val="0"/>
                <w:sz w:val="24"/>
                <w:szCs w:val="24"/>
              </w:rPr>
            </w:pPr>
          </w:p>
        </w:tc>
        <w:tc>
          <w:tcPr>
            <w:tcW w:w="1701" w:type="dxa"/>
            <w:vMerge w:val="continue"/>
            <w:tcBorders>
              <w:top w:val="nil"/>
              <w:left w:val="nil"/>
              <w:bottom w:val="single" w:color="000000" w:sz="4" w:space="0"/>
              <w:right w:val="single" w:color="auto" w:sz="4" w:space="0"/>
            </w:tcBorders>
            <w:vAlign w:val="center"/>
          </w:tcPr>
          <w:p>
            <w:pPr>
              <w:widowControl/>
              <w:jc w:val="left"/>
              <w:rPr>
                <w:rFonts w:ascii="仿宋_GB2312" w:hAnsi="宋体"/>
                <w:b/>
                <w:bCs/>
                <w:color w:val="000000"/>
                <w:kern w:val="0"/>
                <w:sz w:val="24"/>
                <w:szCs w:val="24"/>
              </w:rPr>
            </w:pPr>
          </w:p>
        </w:tc>
        <w:tc>
          <w:tcPr>
            <w:tcW w:w="1559" w:type="dxa"/>
            <w:vMerge w:val="continue"/>
            <w:tcBorders>
              <w:top w:val="nil"/>
              <w:left w:val="nil"/>
              <w:bottom w:val="single" w:color="000000" w:sz="4" w:space="0"/>
              <w:right w:val="single" w:color="auto" w:sz="4" w:space="0"/>
            </w:tcBorders>
            <w:vAlign w:val="center"/>
          </w:tcPr>
          <w:p>
            <w:pPr>
              <w:widowControl/>
              <w:jc w:val="left"/>
              <w:rPr>
                <w:rFonts w:ascii="仿宋_GB2312" w:hAnsi="宋体"/>
                <w:b/>
                <w:bCs/>
                <w:color w:val="000000"/>
                <w:kern w:val="0"/>
                <w:sz w:val="24"/>
                <w:szCs w:val="24"/>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olor w:val="000000"/>
                <w:kern w:val="0"/>
                <w:sz w:val="20"/>
                <w:szCs w:val="20"/>
              </w:rPr>
            </w:pPr>
            <w:r>
              <w:rPr>
                <w:rFonts w:hint="eastAsia" w:ascii="宋体" w:hAnsi="宋体"/>
                <w:color w:val="000000"/>
                <w:kern w:val="0"/>
                <w:sz w:val="20"/>
                <w:szCs w:val="20"/>
              </w:rPr>
              <w:t>212</w:t>
            </w: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olor w:val="000000"/>
                <w:kern w:val="0"/>
                <w:sz w:val="20"/>
                <w:szCs w:val="20"/>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olor w:val="000000"/>
                <w:kern w:val="0"/>
                <w:sz w:val="20"/>
                <w:szCs w:val="20"/>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olor w:val="000000"/>
                <w:kern w:val="0"/>
                <w:sz w:val="20"/>
                <w:szCs w:val="20"/>
              </w:rPr>
            </w:pPr>
            <w:r>
              <w:rPr>
                <w:rFonts w:hint="eastAsia" w:ascii="宋体" w:hAnsi="宋体"/>
                <w:color w:val="000000"/>
                <w:kern w:val="0"/>
                <w:sz w:val="20"/>
                <w:szCs w:val="20"/>
              </w:rPr>
              <w:t>城乡社区支出</w:t>
            </w: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olor w:val="000000"/>
                <w:kern w:val="0"/>
                <w:sz w:val="20"/>
                <w:szCs w:val="20"/>
              </w:rPr>
            </w:pPr>
            <w:r>
              <w:rPr>
                <w:rFonts w:hint="eastAsia" w:ascii="宋体" w:hAnsi="宋体"/>
                <w:color w:val="000000"/>
                <w:kern w:val="0"/>
                <w:sz w:val="20"/>
                <w:szCs w:val="20"/>
              </w:rPr>
              <w:t>212</w:t>
            </w: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olor w:val="000000"/>
                <w:kern w:val="0"/>
                <w:sz w:val="20"/>
                <w:szCs w:val="20"/>
              </w:rPr>
            </w:pPr>
            <w:r>
              <w:rPr>
                <w:rFonts w:hint="eastAsia" w:ascii="宋体" w:hAnsi="宋体"/>
                <w:color w:val="000000"/>
                <w:kern w:val="0"/>
                <w:sz w:val="20"/>
                <w:szCs w:val="20"/>
              </w:rPr>
              <w:t>08</w:t>
            </w: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olor w:val="000000"/>
                <w:kern w:val="0"/>
                <w:sz w:val="20"/>
                <w:szCs w:val="20"/>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olor w:val="000000"/>
                <w:kern w:val="0"/>
                <w:sz w:val="20"/>
                <w:szCs w:val="20"/>
              </w:rPr>
            </w:pPr>
            <w:r>
              <w:rPr>
                <w:rFonts w:hint="eastAsia" w:ascii="宋体" w:hAnsi="宋体"/>
                <w:color w:val="000000"/>
                <w:kern w:val="0"/>
                <w:sz w:val="20"/>
                <w:szCs w:val="20"/>
              </w:rPr>
              <w:t>国有土地使用权出让收入及对应专项债务收入安排的支出</w:t>
            </w: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 xml:space="preserve">  10.7</w:t>
            </w:r>
            <w:r>
              <w:rPr>
                <w:rFonts w:ascii="仿宋_GB2312" w:hAnsi="宋体"/>
                <w:kern w:val="0"/>
                <w:sz w:val="18"/>
                <w:szCs w:val="18"/>
              </w:rPr>
              <w:t>0</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olor w:val="000000"/>
                <w:kern w:val="0"/>
                <w:sz w:val="20"/>
                <w:szCs w:val="20"/>
              </w:rPr>
            </w:pPr>
            <w:r>
              <w:rPr>
                <w:rFonts w:hint="eastAsia" w:ascii="宋体" w:hAnsi="宋体"/>
                <w:color w:val="000000"/>
                <w:kern w:val="0"/>
                <w:sz w:val="20"/>
                <w:szCs w:val="20"/>
              </w:rPr>
              <w:t>212</w:t>
            </w: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olor w:val="000000"/>
                <w:kern w:val="0"/>
                <w:sz w:val="20"/>
                <w:szCs w:val="20"/>
              </w:rPr>
            </w:pPr>
            <w:r>
              <w:rPr>
                <w:rFonts w:hint="eastAsia" w:ascii="宋体" w:hAnsi="宋体"/>
                <w:color w:val="000000"/>
                <w:kern w:val="0"/>
                <w:sz w:val="20"/>
                <w:szCs w:val="20"/>
              </w:rPr>
              <w:t>08</w:t>
            </w: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olor w:val="000000"/>
                <w:kern w:val="0"/>
                <w:sz w:val="20"/>
                <w:szCs w:val="20"/>
              </w:rPr>
            </w:pPr>
            <w:r>
              <w:rPr>
                <w:rFonts w:hint="eastAsia" w:ascii="宋体" w:hAnsi="宋体"/>
                <w:color w:val="000000"/>
                <w:kern w:val="0"/>
                <w:sz w:val="20"/>
                <w:szCs w:val="20"/>
              </w:rPr>
              <w:t>03</w:t>
            </w: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olor w:val="000000"/>
                <w:kern w:val="0"/>
                <w:sz w:val="20"/>
                <w:szCs w:val="20"/>
              </w:rPr>
            </w:pPr>
            <w:r>
              <w:rPr>
                <w:rFonts w:hint="eastAsia" w:ascii="宋体" w:hAnsi="宋体"/>
                <w:color w:val="000000"/>
                <w:kern w:val="0"/>
                <w:sz w:val="20"/>
                <w:szCs w:val="20"/>
              </w:rPr>
              <w:t>城市建设支出</w:t>
            </w: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jc w:val="center"/>
              <w:rPr>
                <w:rFonts w:ascii="宋体" w:hAnsi="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color w:val="000000"/>
                <w:kern w:val="0"/>
                <w:sz w:val="24"/>
                <w:szCs w:val="24"/>
              </w:rPr>
            </w:pPr>
            <w:r>
              <w:rPr>
                <w:rFonts w:ascii="仿宋_GB2312" w:hAnsi="宋体"/>
                <w:b/>
                <w:bCs/>
                <w:color w:val="000000"/>
                <w:kern w:val="0"/>
                <w:sz w:val="24"/>
                <w:szCs w:val="24"/>
              </w:rPr>
              <w:t>合  计</w:t>
            </w: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kern w:val="0"/>
                <w:sz w:val="18"/>
                <w:szCs w:val="18"/>
              </w:rPr>
            </w:pPr>
            <w:r>
              <w:rPr>
                <w:rFonts w:hint="eastAsia" w:ascii="仿宋_GB2312" w:hAnsi="宋体"/>
                <w:kern w:val="0"/>
                <w:sz w:val="18"/>
                <w:szCs w:val="18"/>
              </w:rPr>
              <w:t>10.7</w:t>
            </w:r>
            <w:r>
              <w:rPr>
                <w:rFonts w:ascii="仿宋_GB2312" w:hAnsi="宋体"/>
                <w:kern w:val="0"/>
                <w:sz w:val="18"/>
                <w:szCs w:val="18"/>
              </w:rPr>
              <w:t>0</w:t>
            </w:r>
          </w:p>
        </w:tc>
      </w:tr>
    </w:tbl>
    <w:p>
      <w:pPr>
        <w:widowControl/>
        <w:jc w:val="left"/>
        <w:rPr>
          <w:rFonts w:ascii="黑体" w:hAnsi="黑体" w:eastAsia="黑体"/>
          <w:kern w:val="0"/>
          <w:sz w:val="32"/>
          <w:szCs w:val="32"/>
        </w:rPr>
        <w:sectPr>
          <w:pgSz w:w="11906" w:h="16838"/>
          <w:pgMar w:top="2098" w:right="1418" w:bottom="1928" w:left="1588" w:header="720" w:footer="720" w:gutter="0"/>
          <w:cols w:space="720" w:num="1"/>
          <w:docGrid w:type="lines" w:linePitch="312" w:charSpace="0"/>
        </w:sectPr>
      </w:pPr>
    </w:p>
    <w:p>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2021年伊州区人民医院部门预算情况说明</w:t>
      </w:r>
    </w:p>
    <w:p>
      <w:pPr>
        <w:spacing w:line="560" w:lineRule="exact"/>
        <w:jc w:val="center"/>
        <w:rPr>
          <w:rFonts w:ascii="黑体" w:hAnsi="黑体" w:eastAsia="黑体"/>
          <w:kern w:val="0"/>
          <w:sz w:val="32"/>
          <w:szCs w:val="32"/>
        </w:rPr>
      </w:pPr>
    </w:p>
    <w:p>
      <w:pPr>
        <w:spacing w:line="560" w:lineRule="exact"/>
        <w:ind w:firstLine="640" w:firstLineChars="200"/>
        <w:rPr>
          <w:rFonts w:ascii="黑体" w:hAnsi="宋体" w:eastAsia="黑体"/>
          <w:kern w:val="0"/>
          <w:sz w:val="32"/>
          <w:szCs w:val="32"/>
        </w:rPr>
      </w:pPr>
      <w:r>
        <w:rPr>
          <w:rFonts w:hint="eastAsia" w:ascii="黑体" w:hAnsi="黑体" w:eastAsia="黑体"/>
          <w:kern w:val="0"/>
          <w:sz w:val="32"/>
          <w:szCs w:val="32"/>
        </w:rPr>
        <w:t>一、关于伊州区人民医院部门</w:t>
      </w:r>
      <w:r>
        <w:rPr>
          <w:rFonts w:hint="eastAsia" w:ascii="黑体" w:hAnsi="宋体" w:eastAsia="黑体"/>
          <w:kern w:val="0"/>
          <w:sz w:val="32"/>
          <w:szCs w:val="32"/>
        </w:rPr>
        <w:t>2021年收支预算情况的总体说明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按照全口径预算的原则，伊州区人民医院部门2021年所有收入和支出均纳入部门预算管理。收支总预算3151.33万元。</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收入预算包括：一般公共预算3140.63万元、政府性基金预算10.7</w:t>
      </w:r>
      <w:r>
        <w:rPr>
          <w:rFonts w:ascii="仿宋_GB2312" w:hAnsi="黑体" w:eastAsia="仿宋_GB2312"/>
          <w:bCs/>
          <w:kern w:val="0"/>
          <w:sz w:val="32"/>
          <w:szCs w:val="32"/>
        </w:rPr>
        <w:t>0</w:t>
      </w:r>
      <w:r>
        <w:rPr>
          <w:rFonts w:hint="eastAsia" w:ascii="仿宋_GB2312" w:hAnsi="黑体" w:eastAsia="仿宋_GB2312"/>
          <w:bCs/>
          <w:kern w:val="0"/>
          <w:sz w:val="32"/>
          <w:szCs w:val="32"/>
        </w:rPr>
        <w:t>万元。</w:t>
      </w:r>
    </w:p>
    <w:p>
      <w:pPr>
        <w:widowControl/>
        <w:spacing w:line="560" w:lineRule="exact"/>
        <w:ind w:firstLine="640"/>
        <w:jc w:val="left"/>
        <w:rPr>
          <w:rFonts w:ascii="仿宋_GB2312" w:hAnsi="仿宋_GB2312"/>
          <w:kern w:val="0"/>
          <w:sz w:val="32"/>
          <w:szCs w:val="32"/>
        </w:rPr>
      </w:pPr>
      <w:r>
        <w:rPr>
          <w:rFonts w:hint="eastAsia" w:ascii="仿宋_GB2312" w:hAnsi="黑体" w:eastAsia="仿宋_GB2312"/>
          <w:bCs/>
          <w:kern w:val="0"/>
          <w:sz w:val="32"/>
          <w:szCs w:val="32"/>
        </w:rPr>
        <w:t>支出预算包括：社会保障和就业支出237.63万元、医疗卫生健康支出2762.11万元、城乡社区支出10.7</w:t>
      </w:r>
      <w:r>
        <w:rPr>
          <w:rFonts w:ascii="仿宋_GB2312" w:hAnsi="黑体" w:eastAsia="仿宋_GB2312"/>
          <w:bCs/>
          <w:kern w:val="0"/>
          <w:sz w:val="32"/>
          <w:szCs w:val="32"/>
        </w:rPr>
        <w:t>0</w:t>
      </w:r>
      <w:r>
        <w:rPr>
          <w:rFonts w:hint="eastAsia" w:ascii="仿宋_GB2312" w:hAnsi="黑体" w:eastAsia="仿宋_GB2312"/>
          <w:bCs/>
          <w:kern w:val="0"/>
          <w:sz w:val="32"/>
          <w:szCs w:val="32"/>
        </w:rPr>
        <w:t>万元、住房保障支出140.89万元。</w:t>
      </w:r>
    </w:p>
    <w:p>
      <w:pPr>
        <w:spacing w:line="560" w:lineRule="exact"/>
        <w:ind w:firstLine="640" w:firstLineChars="200"/>
        <w:rPr>
          <w:rFonts w:ascii="仿宋_GB2312" w:hAnsi="仿宋_GB2312"/>
          <w:kern w:val="0"/>
          <w:sz w:val="32"/>
          <w:szCs w:val="32"/>
        </w:rPr>
      </w:pPr>
    </w:p>
    <w:p>
      <w:pPr>
        <w:spacing w:line="560" w:lineRule="exact"/>
        <w:ind w:firstLine="640" w:firstLineChars="200"/>
        <w:rPr>
          <w:rFonts w:ascii="黑体" w:hAnsi="宋体" w:eastAsia="黑体"/>
          <w:kern w:val="0"/>
          <w:sz w:val="32"/>
          <w:szCs w:val="32"/>
        </w:rPr>
      </w:pPr>
      <w:r>
        <w:rPr>
          <w:rFonts w:hint="eastAsia" w:ascii="黑体" w:hAnsi="黑体" w:eastAsia="黑体"/>
          <w:kern w:val="0"/>
          <w:sz w:val="32"/>
          <w:szCs w:val="32"/>
        </w:rPr>
        <w:t>二、关于</w:t>
      </w:r>
      <w:r>
        <w:rPr>
          <w:rFonts w:hint="eastAsia" w:ascii="黑体" w:hAnsi="宋体" w:eastAsia="黑体"/>
          <w:kern w:val="0"/>
          <w:sz w:val="32"/>
          <w:szCs w:val="32"/>
        </w:rPr>
        <w:t>伊州区人民医院部门2021年收入预算情况说明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伊州区人民医院部门收入预算3151.33万元，其中：</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一般公共预算3140.63万元，占99.7</w:t>
      </w:r>
      <w:r>
        <w:rPr>
          <w:rFonts w:ascii="仿宋_GB2312" w:hAnsi="黑体" w:eastAsia="仿宋_GB2312"/>
          <w:bCs/>
          <w:kern w:val="0"/>
          <w:sz w:val="32"/>
          <w:szCs w:val="32"/>
        </w:rPr>
        <w:t>0</w:t>
      </w:r>
      <w:r>
        <w:rPr>
          <w:rFonts w:hint="eastAsia" w:ascii="仿宋_GB2312" w:hAnsi="黑体" w:eastAsia="仿宋_GB2312"/>
          <w:bCs/>
          <w:kern w:val="0"/>
          <w:sz w:val="32"/>
          <w:szCs w:val="32"/>
        </w:rPr>
        <w:t>%，比上年</w:t>
      </w:r>
      <w:r>
        <w:rPr>
          <w:rFonts w:hint="eastAsia" w:ascii="仿宋_GB2312" w:hAnsi="黑体" w:eastAsia="仿宋_GB2312"/>
          <w:bCs/>
          <w:kern w:val="0"/>
          <w:sz w:val="32"/>
          <w:szCs w:val="32"/>
          <w:lang w:eastAsia="zh-CN"/>
        </w:rPr>
        <w:t>预算</w:t>
      </w:r>
      <w:r>
        <w:rPr>
          <w:rFonts w:hint="eastAsia" w:ascii="仿宋_GB2312" w:hAnsi="黑体" w:eastAsia="仿宋_GB2312"/>
          <w:bCs/>
          <w:kern w:val="0"/>
          <w:sz w:val="32"/>
          <w:szCs w:val="32"/>
        </w:rPr>
        <w:t>增加564.73万元，主要原因是工资增长；公共卫生发热门诊确诊呼吸道传染病发现能力提升。</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政府性基金项目预算10.7</w:t>
      </w:r>
      <w:r>
        <w:rPr>
          <w:rFonts w:ascii="仿宋_GB2312" w:hAnsi="黑体" w:eastAsia="仿宋_GB2312"/>
          <w:bCs/>
          <w:kern w:val="0"/>
          <w:sz w:val="32"/>
          <w:szCs w:val="32"/>
        </w:rPr>
        <w:t>0</w:t>
      </w:r>
      <w:r>
        <w:rPr>
          <w:rFonts w:hint="eastAsia" w:ascii="仿宋_GB2312" w:hAnsi="黑体" w:eastAsia="仿宋_GB2312"/>
          <w:bCs/>
          <w:kern w:val="0"/>
          <w:sz w:val="32"/>
          <w:szCs w:val="32"/>
        </w:rPr>
        <w:t>万元，占0.3</w:t>
      </w:r>
      <w:r>
        <w:rPr>
          <w:rFonts w:ascii="仿宋_GB2312" w:hAnsi="黑体" w:eastAsia="仿宋_GB2312"/>
          <w:bCs/>
          <w:kern w:val="0"/>
          <w:sz w:val="32"/>
          <w:szCs w:val="32"/>
        </w:rPr>
        <w:t>0</w:t>
      </w:r>
      <w:r>
        <w:rPr>
          <w:rFonts w:hint="eastAsia" w:ascii="仿宋_GB2312" w:hAnsi="黑体" w:eastAsia="仿宋_GB2312"/>
          <w:bCs/>
          <w:kern w:val="0"/>
          <w:sz w:val="32"/>
          <w:szCs w:val="32"/>
        </w:rPr>
        <w:t>%，比上年</w:t>
      </w:r>
      <w:r>
        <w:rPr>
          <w:rFonts w:hint="eastAsia" w:ascii="仿宋_GB2312" w:hAnsi="黑体" w:eastAsia="仿宋_GB2312"/>
          <w:bCs/>
          <w:kern w:val="0"/>
          <w:sz w:val="32"/>
          <w:szCs w:val="32"/>
          <w:lang w:eastAsia="zh-CN"/>
        </w:rPr>
        <w:t>预算</w:t>
      </w:r>
      <w:r>
        <w:rPr>
          <w:rFonts w:hint="eastAsia" w:ascii="仿宋_GB2312" w:hAnsi="黑体" w:eastAsia="仿宋_GB2312"/>
          <w:bCs/>
          <w:kern w:val="0"/>
          <w:sz w:val="32"/>
          <w:szCs w:val="32"/>
        </w:rPr>
        <w:t>增加2.23万元，主要原因是全口径监测平台项目还款预算增加。</w:t>
      </w:r>
    </w:p>
    <w:p>
      <w:pPr>
        <w:widowControl/>
        <w:spacing w:line="560" w:lineRule="exact"/>
        <w:ind w:firstLine="640"/>
        <w:jc w:val="left"/>
        <w:rPr>
          <w:rFonts w:ascii="仿宋_GB2312" w:hAnsi="黑体" w:eastAsia="仿宋_GB2312"/>
          <w:bCs/>
          <w:kern w:val="0"/>
          <w:sz w:val="32"/>
          <w:szCs w:val="32"/>
        </w:rPr>
      </w:pPr>
      <w:r>
        <w:rPr>
          <w:rFonts w:hint="eastAsia" w:ascii="仿宋_GB2312" w:hAnsi="宋体" w:eastAsia="仿宋_GB2312"/>
          <w:kern w:val="0"/>
          <w:sz w:val="32"/>
          <w:szCs w:val="32"/>
        </w:rPr>
        <w:t>国有资本经营预算未安排。</w:t>
      </w:r>
    </w:p>
    <w:p>
      <w:pPr>
        <w:widowControl/>
        <w:spacing w:line="560" w:lineRule="exact"/>
        <w:ind w:firstLine="640"/>
        <w:jc w:val="left"/>
        <w:rPr>
          <w:rFonts w:ascii="仿宋_GB2312" w:hAnsi="黑体" w:eastAsia="仿宋_GB2312"/>
          <w:bCs/>
          <w:kern w:val="0"/>
          <w:sz w:val="32"/>
          <w:szCs w:val="32"/>
        </w:rPr>
      </w:pPr>
    </w:p>
    <w:p>
      <w:pPr>
        <w:spacing w:line="560" w:lineRule="exact"/>
        <w:ind w:firstLine="640" w:firstLineChars="200"/>
        <w:rPr>
          <w:rFonts w:ascii="黑体" w:hAnsi="宋体" w:eastAsia="黑体"/>
          <w:kern w:val="0"/>
          <w:sz w:val="32"/>
          <w:szCs w:val="32"/>
        </w:rPr>
      </w:pPr>
      <w:r>
        <w:rPr>
          <w:rFonts w:hint="eastAsia" w:ascii="黑体" w:hAnsi="黑体" w:eastAsia="黑体"/>
          <w:kern w:val="0"/>
          <w:sz w:val="32"/>
          <w:szCs w:val="32"/>
        </w:rPr>
        <w:t>三、关于</w:t>
      </w:r>
      <w:r>
        <w:rPr>
          <w:rFonts w:hint="eastAsia" w:ascii="黑体" w:hAnsi="宋体" w:eastAsia="黑体"/>
          <w:kern w:val="0"/>
          <w:sz w:val="32"/>
          <w:szCs w:val="32"/>
        </w:rPr>
        <w:t>伊州区人民医院部门2021年支出预算情况说明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伊州区人民医院部门2021年支出预算3151.33万元，其中：</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基本支出2524.63万元，占80.26%，比上年</w:t>
      </w:r>
      <w:r>
        <w:rPr>
          <w:rFonts w:hint="eastAsia" w:ascii="仿宋_GB2312" w:hAnsi="黑体" w:eastAsia="仿宋_GB2312"/>
          <w:bCs/>
          <w:kern w:val="0"/>
          <w:sz w:val="32"/>
          <w:szCs w:val="32"/>
          <w:lang w:eastAsia="zh-CN"/>
        </w:rPr>
        <w:t>预算</w:t>
      </w:r>
      <w:r>
        <w:rPr>
          <w:rFonts w:hint="eastAsia" w:ascii="仿宋_GB2312" w:hAnsi="黑体" w:eastAsia="仿宋_GB2312"/>
          <w:bCs/>
          <w:kern w:val="0"/>
          <w:sz w:val="32"/>
          <w:szCs w:val="32"/>
        </w:rPr>
        <w:t>减少51.27万元，主要原因是职业年金未纳入预算减少28.21万元,商品和服务支出中工会经费、福利费未纳人预算减少23.06万元。</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项目支出626.7万元，占19.74%，比上年增加618.23万元，主要原因是增加公共卫生发热门诊确诊呼吸道传染病发现能力提升项目。</w:t>
      </w:r>
    </w:p>
    <w:p>
      <w:pPr>
        <w:widowControl/>
        <w:spacing w:line="560" w:lineRule="exact"/>
        <w:ind w:firstLine="640"/>
        <w:jc w:val="left"/>
        <w:rPr>
          <w:rFonts w:ascii="仿宋_GB2312" w:hAnsi="黑体" w:eastAsia="仿宋_GB2312"/>
          <w:bCs/>
          <w:kern w:val="0"/>
          <w:sz w:val="32"/>
          <w:szCs w:val="32"/>
        </w:rPr>
      </w:pPr>
    </w:p>
    <w:p>
      <w:pPr>
        <w:spacing w:line="560" w:lineRule="exact"/>
        <w:ind w:firstLine="640" w:firstLineChars="200"/>
        <w:rPr>
          <w:rFonts w:ascii="黑体" w:hAnsi="黑体" w:eastAsia="黑体"/>
          <w:kern w:val="0"/>
          <w:sz w:val="32"/>
          <w:szCs w:val="32"/>
        </w:rPr>
      </w:pPr>
      <w:r>
        <w:rPr>
          <w:rFonts w:hint="eastAsia" w:ascii="黑体" w:hAnsi="黑体" w:eastAsia="黑体"/>
          <w:kern w:val="0"/>
          <w:sz w:val="32"/>
          <w:szCs w:val="32"/>
        </w:rPr>
        <w:t>四、关于伊州区人民医院部门2021年财政拨款收支预算情况的总体说明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2021年财政拨款收支总预算3151.33万元。</w:t>
      </w:r>
    </w:p>
    <w:p>
      <w:pPr>
        <w:widowControl/>
        <w:spacing w:line="560" w:lineRule="exact"/>
        <w:ind w:firstLine="640"/>
        <w:jc w:val="left"/>
        <w:rPr>
          <w:rFonts w:ascii="仿宋_GB2312" w:hAnsi="黑体" w:eastAsia="仿宋_GB2312"/>
          <w:bCs/>
          <w:kern w:val="0"/>
          <w:sz w:val="32"/>
          <w:szCs w:val="32"/>
        </w:rPr>
      </w:pPr>
      <w:r>
        <w:rPr>
          <w:rFonts w:hint="eastAsia" w:ascii="仿宋_GB2312" w:hAnsi="宋体" w:eastAsia="仿宋_GB2312"/>
          <w:spacing w:val="-6"/>
          <w:kern w:val="0"/>
          <w:sz w:val="32"/>
          <w:szCs w:val="32"/>
        </w:rPr>
        <w:t>收入为一般公共预算拨款，政府性基金预算拨款，无国有资本经营预算。</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收入预算包括：一般公共预算拨款3140.63万元，政府性基金预算拨款10.7</w:t>
      </w:r>
      <w:r>
        <w:rPr>
          <w:rFonts w:ascii="仿宋_GB2312" w:hAnsi="黑体" w:eastAsia="仿宋_GB2312"/>
          <w:bCs/>
          <w:kern w:val="0"/>
          <w:sz w:val="32"/>
          <w:szCs w:val="32"/>
        </w:rPr>
        <w:t>0</w:t>
      </w:r>
      <w:r>
        <w:rPr>
          <w:rFonts w:hint="eastAsia" w:ascii="仿宋_GB2312" w:hAnsi="黑体" w:eastAsia="仿宋_GB2312"/>
          <w:bCs/>
          <w:kern w:val="0"/>
          <w:sz w:val="32"/>
          <w:szCs w:val="32"/>
        </w:rPr>
        <w:t>万元。</w:t>
      </w:r>
    </w:p>
    <w:p>
      <w:pPr>
        <w:widowControl/>
        <w:spacing w:line="560" w:lineRule="exact"/>
        <w:ind w:firstLine="640"/>
        <w:jc w:val="left"/>
        <w:rPr>
          <w:rFonts w:ascii="仿宋_GB2312" w:hAnsi="黑体" w:eastAsia="仿宋_GB2312"/>
          <w:bCs/>
          <w:kern w:val="0"/>
          <w:sz w:val="32"/>
          <w:szCs w:val="32"/>
        </w:rPr>
      </w:pPr>
      <w:r>
        <w:rPr>
          <w:rFonts w:hint="eastAsia" w:ascii="仿宋_GB2312" w:hAnsi="宋体" w:eastAsia="仿宋_GB2312"/>
          <w:kern w:val="0"/>
          <w:sz w:val="32"/>
          <w:szCs w:val="32"/>
        </w:rPr>
        <w:t>一般公共预算</w:t>
      </w:r>
      <w:r>
        <w:rPr>
          <w:rFonts w:hint="eastAsia" w:ascii="仿宋_GB2312" w:hAnsi="黑体" w:eastAsia="仿宋_GB2312"/>
          <w:bCs/>
          <w:kern w:val="0"/>
          <w:sz w:val="32"/>
          <w:szCs w:val="32"/>
        </w:rPr>
        <w:t>支出预算包括：210类医疗卫生与</w:t>
      </w:r>
      <w:r>
        <w:rPr>
          <w:rFonts w:hint="eastAsia" w:ascii="仿宋_GB2312" w:hAnsi="黑体" w:eastAsia="仿宋_GB2312"/>
          <w:bCs/>
          <w:kern w:val="0"/>
          <w:sz w:val="32"/>
          <w:szCs w:val="32"/>
          <w:lang w:eastAsia="zh-CN"/>
        </w:rPr>
        <w:t>*</w:t>
      </w:r>
      <w:r>
        <w:rPr>
          <w:rFonts w:hint="eastAsia" w:ascii="仿宋_GB2312" w:hAnsi="黑体" w:eastAsia="仿宋_GB2312"/>
          <w:bCs/>
          <w:kern w:val="0"/>
          <w:sz w:val="32"/>
          <w:szCs w:val="32"/>
        </w:rPr>
        <w:t>支出2762.11万元，主要用于事业单位人员经费支出、公共卫生发热门诊确诊呼吸道传染病发现能力提升项目;208类社会保障和就业支出237.63万元，主要用于机关事业单位人员社保缴费；221类住房保障支出140.89万元，主要用于机关事业单位人员住房公积金缴费。</w:t>
      </w:r>
    </w:p>
    <w:p>
      <w:pPr>
        <w:widowControl/>
        <w:spacing w:line="560" w:lineRule="exact"/>
        <w:ind w:firstLine="640"/>
        <w:jc w:val="left"/>
        <w:rPr>
          <w:rFonts w:ascii="仿宋_GB2312" w:hAnsi="宋体" w:eastAsia="仿宋_GB2312"/>
          <w:spacing w:val="-6"/>
          <w:kern w:val="0"/>
          <w:sz w:val="32"/>
          <w:szCs w:val="32"/>
        </w:rPr>
      </w:pPr>
      <w:r>
        <w:rPr>
          <w:rFonts w:hint="eastAsia" w:ascii="仿宋_GB2312" w:hAnsi="宋体" w:eastAsia="仿宋_GB2312"/>
          <w:spacing w:val="-6"/>
          <w:kern w:val="0"/>
          <w:sz w:val="32"/>
          <w:szCs w:val="32"/>
        </w:rPr>
        <w:t>政府性基金预算拨款</w:t>
      </w:r>
      <w:r>
        <w:rPr>
          <w:rFonts w:hint="eastAsia" w:ascii="仿宋_GB2312" w:hAnsi="黑体" w:eastAsia="仿宋_GB2312"/>
          <w:bCs/>
          <w:kern w:val="0"/>
          <w:sz w:val="32"/>
          <w:szCs w:val="32"/>
        </w:rPr>
        <w:t>10.7</w:t>
      </w:r>
      <w:r>
        <w:rPr>
          <w:rFonts w:ascii="仿宋_GB2312" w:hAnsi="黑体" w:eastAsia="仿宋_GB2312"/>
          <w:bCs/>
          <w:kern w:val="0"/>
          <w:sz w:val="32"/>
          <w:szCs w:val="32"/>
        </w:rPr>
        <w:t>0</w:t>
      </w:r>
      <w:r>
        <w:rPr>
          <w:rFonts w:hint="eastAsia" w:ascii="仿宋_GB2312" w:hAnsi="宋体" w:eastAsia="仿宋_GB2312"/>
          <w:spacing w:val="-6"/>
          <w:kern w:val="0"/>
          <w:sz w:val="32"/>
          <w:szCs w:val="32"/>
        </w:rPr>
        <w:t>万元，主要用于</w:t>
      </w:r>
      <w:r>
        <w:rPr>
          <w:rFonts w:ascii="仿宋_GB2312" w:hAnsi="宋体" w:eastAsia="仿宋_GB2312"/>
          <w:spacing w:val="-6"/>
          <w:kern w:val="0"/>
          <w:sz w:val="32"/>
          <w:szCs w:val="32"/>
        </w:rPr>
        <w:t>2021年全口径债务还款项目</w:t>
      </w:r>
      <w:r>
        <w:rPr>
          <w:rFonts w:hint="eastAsia" w:ascii="仿宋_GB2312" w:hAnsi="宋体" w:eastAsia="仿宋_GB2312"/>
          <w:spacing w:val="-6"/>
          <w:kern w:val="0"/>
          <w:sz w:val="32"/>
          <w:szCs w:val="32"/>
        </w:rPr>
        <w:t>。</w:t>
      </w:r>
    </w:p>
    <w:p>
      <w:pPr>
        <w:widowControl/>
        <w:spacing w:line="560" w:lineRule="exact"/>
        <w:ind w:firstLine="640"/>
        <w:jc w:val="left"/>
        <w:rPr>
          <w:rFonts w:ascii="仿宋_GB2312" w:hAnsi="黑体" w:eastAsia="仿宋_GB2312"/>
          <w:bCs/>
          <w:kern w:val="0"/>
          <w:sz w:val="32"/>
          <w:szCs w:val="32"/>
        </w:rPr>
      </w:pPr>
    </w:p>
    <w:p>
      <w:pPr>
        <w:spacing w:line="560" w:lineRule="exact"/>
        <w:ind w:firstLine="640" w:firstLineChars="200"/>
        <w:rPr>
          <w:rFonts w:ascii="黑体" w:hAnsi="宋体" w:eastAsia="黑体"/>
          <w:kern w:val="0"/>
          <w:sz w:val="32"/>
          <w:szCs w:val="32"/>
        </w:rPr>
      </w:pPr>
      <w:r>
        <w:rPr>
          <w:rFonts w:hint="eastAsia" w:ascii="黑体" w:hAnsi="黑体" w:eastAsia="黑体"/>
          <w:kern w:val="0"/>
          <w:sz w:val="32"/>
          <w:szCs w:val="32"/>
        </w:rPr>
        <w:t>五、关于伊州区人民医院部门</w:t>
      </w:r>
      <w:r>
        <w:rPr>
          <w:rFonts w:hint="eastAsia" w:ascii="黑体" w:hAnsi="宋体" w:eastAsia="黑体"/>
          <w:kern w:val="0"/>
          <w:sz w:val="32"/>
          <w:szCs w:val="32"/>
        </w:rPr>
        <w:t>2021年一般公共预算当年拨款情况说明</w:t>
      </w:r>
    </w:p>
    <w:p>
      <w:pPr>
        <w:spacing w:line="560" w:lineRule="exact"/>
        <w:ind w:firstLine="640" w:firstLineChars="200"/>
        <w:rPr>
          <w:rFonts w:ascii="黑体" w:hAnsi="宋体" w:eastAsia="黑体"/>
          <w:kern w:val="0"/>
          <w:sz w:val="32"/>
          <w:szCs w:val="32"/>
        </w:rPr>
      </w:pPr>
      <w:r>
        <w:rPr>
          <w:rFonts w:hint="eastAsia" w:ascii="黑体" w:hAnsi="宋体" w:eastAsia="黑体"/>
          <w:kern w:val="0"/>
          <w:sz w:val="32"/>
          <w:szCs w:val="32"/>
        </w:rPr>
        <w:t>（一）一般公共预算当年拨款规模变化情况</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伊州区人民医院部门2021年一般公共预算拨款</w:t>
      </w:r>
      <w:r>
        <w:rPr>
          <w:rFonts w:hint="eastAsia" w:ascii="仿宋_GB2312" w:hAnsi="宋体" w:eastAsia="仿宋_GB2312"/>
          <w:kern w:val="0"/>
          <w:sz w:val="32"/>
          <w:szCs w:val="32"/>
        </w:rPr>
        <w:t>合计</w:t>
      </w:r>
      <w:r>
        <w:rPr>
          <w:rFonts w:hint="eastAsia" w:ascii="仿宋_GB2312" w:hAnsi="黑体" w:eastAsia="仿宋_GB2312"/>
          <w:bCs/>
          <w:kern w:val="0"/>
          <w:sz w:val="32"/>
          <w:szCs w:val="32"/>
        </w:rPr>
        <w:t>3140.63</w:t>
      </w:r>
      <w:r>
        <w:rPr>
          <w:rFonts w:hint="eastAsia" w:ascii="仿宋_GB2312" w:hAnsi="宋体" w:eastAsia="仿宋_GB2312"/>
          <w:kern w:val="0"/>
          <w:sz w:val="32"/>
          <w:szCs w:val="32"/>
        </w:rPr>
        <w:t>万元，其中：</w:t>
      </w:r>
      <w:r>
        <w:rPr>
          <w:rFonts w:hint="eastAsia" w:ascii="仿宋_GB2312" w:hAnsi="黑体" w:eastAsia="仿宋_GB2312"/>
          <w:bCs/>
          <w:kern w:val="0"/>
          <w:sz w:val="32"/>
          <w:szCs w:val="32"/>
        </w:rPr>
        <w:t>基本支出2524.63万元，比上年预算数减少51.27万元，下降1.1</w:t>
      </w:r>
      <w:r>
        <w:rPr>
          <w:rFonts w:ascii="仿宋_GB2312" w:hAnsi="黑体" w:eastAsia="仿宋_GB2312"/>
          <w:bCs/>
          <w:kern w:val="0"/>
          <w:sz w:val="32"/>
          <w:szCs w:val="32"/>
        </w:rPr>
        <w:t>0</w:t>
      </w:r>
      <w:r>
        <w:rPr>
          <w:rFonts w:hint="eastAsia" w:ascii="仿宋_GB2312" w:hAnsi="黑体" w:eastAsia="仿宋_GB2312"/>
          <w:bCs/>
          <w:kern w:val="0"/>
          <w:sz w:val="32"/>
          <w:szCs w:val="32"/>
        </w:rPr>
        <w:t>%。主要原因是：在职职工职业年金未纳入预算，商品和服务支出中工会经费、福利费未纳人预算。项目支出616万元，比上年预算数增加616万元，增长100%，主要原因是增加发热门诊呼吸道传染病发现能力提升项目。</w:t>
      </w:r>
    </w:p>
    <w:p>
      <w:pPr>
        <w:spacing w:line="560" w:lineRule="exact"/>
        <w:ind w:firstLine="640" w:firstLineChars="200"/>
        <w:rPr>
          <w:rFonts w:ascii="黑体" w:hAnsi="宋体" w:eastAsia="黑体"/>
          <w:kern w:val="0"/>
          <w:sz w:val="32"/>
          <w:szCs w:val="32"/>
        </w:rPr>
      </w:pPr>
      <w:r>
        <w:rPr>
          <w:rFonts w:hint="eastAsia" w:ascii="黑体" w:hAnsi="宋体" w:eastAsia="黑体"/>
          <w:kern w:val="0"/>
          <w:sz w:val="32"/>
          <w:szCs w:val="32"/>
        </w:rPr>
        <w:t>（二）一般公共预算当年拨款结构情况</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1.社会保障和就业支出（208类）237.63万元，占7.57%。</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2.卫生健康支出（210类）2762.11万元，占87.95%。</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3.住房保障支出（221类）140.89万元，占4.48%。</w:t>
      </w:r>
    </w:p>
    <w:p>
      <w:pPr>
        <w:spacing w:line="560" w:lineRule="exact"/>
        <w:ind w:firstLine="640" w:firstLineChars="200"/>
        <w:rPr>
          <w:rFonts w:ascii="黑体" w:hAnsi="宋体" w:eastAsia="黑体"/>
          <w:kern w:val="0"/>
          <w:sz w:val="32"/>
          <w:szCs w:val="32"/>
        </w:rPr>
      </w:pPr>
      <w:r>
        <w:rPr>
          <w:rFonts w:hint="eastAsia" w:ascii="黑体" w:hAnsi="宋体" w:eastAsia="黑体"/>
          <w:kern w:val="0"/>
          <w:sz w:val="32"/>
          <w:szCs w:val="32"/>
        </w:rPr>
        <w:t>（三）一般公共预算当年拨款具体使用情况</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1.医疗卫生与</w:t>
      </w:r>
      <w:r>
        <w:rPr>
          <w:rFonts w:hint="eastAsia" w:ascii="仿宋_GB2312" w:hAnsi="黑体" w:eastAsia="仿宋_GB2312"/>
          <w:bCs/>
          <w:kern w:val="0"/>
          <w:sz w:val="32"/>
          <w:szCs w:val="32"/>
          <w:lang w:eastAsia="zh-CN"/>
        </w:rPr>
        <w:t>*</w:t>
      </w:r>
      <w:r>
        <w:rPr>
          <w:rFonts w:hint="eastAsia" w:ascii="仿宋_GB2312" w:hAnsi="黑体" w:eastAsia="仿宋_GB2312"/>
          <w:bCs/>
          <w:kern w:val="0"/>
          <w:sz w:val="32"/>
          <w:szCs w:val="32"/>
        </w:rPr>
        <w:t>支出（210类）公立医院（02款）综合医院（01项）:2021年预算数为2146.11万元，比上年预算数减少90.94万元，下降3%，主要原因是：在职职工职业年金未纳入预算，商品和服务支出中工会经费、福利费未纳人预算。</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2.医疗卫生与</w:t>
      </w:r>
      <w:r>
        <w:rPr>
          <w:rFonts w:hint="eastAsia" w:ascii="仿宋_GB2312" w:hAnsi="黑体" w:eastAsia="仿宋_GB2312"/>
          <w:bCs/>
          <w:kern w:val="0"/>
          <w:sz w:val="32"/>
          <w:szCs w:val="32"/>
          <w:lang w:eastAsia="zh-CN"/>
        </w:rPr>
        <w:t>*</w:t>
      </w:r>
      <w:r>
        <w:rPr>
          <w:rFonts w:hint="eastAsia" w:ascii="仿宋_GB2312" w:hAnsi="黑体" w:eastAsia="仿宋_GB2312"/>
          <w:bCs/>
          <w:kern w:val="0"/>
          <w:sz w:val="32"/>
          <w:szCs w:val="32"/>
        </w:rPr>
        <w:t>支出（210类）公共卫生（04款）突发公共卫生事件应急处理（10项）:2021年预算数为616万元，比上年预算数增加616万元，增长100%，主要原因是：增加发热门诊呼吸道传染病发现能力提升项目。</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3.社会保障和就业支出（208类）行政事业单位离退休（05款）机关事业单位基本养老保险缴费支出（05项）2021年预算数为237.63万元，比上年预算数增加39.21万元，增长19.76%，主要原因是：社保缴费基数增长。</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4.住房保障支出（221类）住房改革支出（02款）住房公积金（01项）：2021年预算数为140.89万元，比上上年预算数增加0.46万元，增长0.03%，主要原因是住房公积金调整基数。</w:t>
      </w:r>
    </w:p>
    <w:p>
      <w:pPr>
        <w:widowControl/>
        <w:spacing w:line="560" w:lineRule="exact"/>
        <w:ind w:firstLine="640"/>
        <w:jc w:val="left"/>
        <w:rPr>
          <w:rFonts w:ascii="仿宋_GB2312" w:hAnsi="黑体" w:eastAsia="仿宋_GB2312"/>
          <w:bCs/>
          <w:kern w:val="0"/>
          <w:sz w:val="32"/>
          <w:szCs w:val="32"/>
        </w:rPr>
      </w:pPr>
    </w:p>
    <w:p>
      <w:pPr>
        <w:spacing w:line="560" w:lineRule="exact"/>
        <w:ind w:firstLine="640" w:firstLineChars="200"/>
        <w:rPr>
          <w:rFonts w:ascii="黑体" w:hAnsi="宋体" w:eastAsia="黑体"/>
          <w:kern w:val="0"/>
          <w:sz w:val="32"/>
          <w:szCs w:val="32"/>
        </w:rPr>
      </w:pPr>
      <w:r>
        <w:rPr>
          <w:rFonts w:hint="eastAsia" w:ascii="黑体" w:hAnsi="黑体" w:eastAsia="黑体"/>
          <w:kern w:val="0"/>
          <w:sz w:val="32"/>
          <w:szCs w:val="32"/>
        </w:rPr>
        <w:t>六、关于伊州区人民医院部门</w:t>
      </w:r>
      <w:r>
        <w:rPr>
          <w:rFonts w:hint="eastAsia" w:ascii="黑体" w:hAnsi="宋体" w:eastAsia="黑体"/>
          <w:kern w:val="0"/>
          <w:sz w:val="32"/>
          <w:szCs w:val="32"/>
        </w:rPr>
        <w:t>2021年一般公共预算基本支出情况说明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伊州区人民医院部门2021年一般公共预算基本支出2524.63万元，其中：</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人员经费2524.63万元，主要包括：基本工资516.88万元、津贴补贴396.56万元、奖金67.69万元、机关事业单位基本养老保险缴费199.67万元、职工基本医疗保险缴费196.27万元、其他社会保障缴费3.92万元、住房公积金140.89万元、其他工资福利支出963.4万元、离休费12.26万元、退休费27.09万元。</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公用经费0万元。我单位无公用经费。</w:t>
      </w:r>
    </w:p>
    <w:p>
      <w:pPr>
        <w:widowControl/>
        <w:spacing w:line="560" w:lineRule="exact"/>
        <w:ind w:firstLine="640"/>
        <w:jc w:val="left"/>
        <w:rPr>
          <w:rFonts w:ascii="仿宋_GB2312" w:hAnsi="黑体" w:eastAsia="仿宋_GB2312"/>
          <w:bCs/>
          <w:kern w:val="0"/>
          <w:sz w:val="32"/>
          <w:szCs w:val="32"/>
        </w:rPr>
      </w:pPr>
    </w:p>
    <w:p>
      <w:pPr>
        <w:spacing w:line="560" w:lineRule="exact"/>
        <w:ind w:firstLine="640" w:firstLineChars="200"/>
        <w:rPr>
          <w:rFonts w:ascii="黑体" w:hAnsi="宋体" w:eastAsia="黑体"/>
          <w:kern w:val="0"/>
          <w:sz w:val="32"/>
          <w:szCs w:val="32"/>
        </w:rPr>
      </w:pPr>
      <w:r>
        <w:rPr>
          <w:rFonts w:hint="eastAsia" w:ascii="黑体" w:hAnsi="黑体" w:eastAsia="黑体"/>
          <w:kern w:val="0"/>
          <w:sz w:val="32"/>
          <w:szCs w:val="32"/>
        </w:rPr>
        <w:t>七、关于伊州区人民医院部门</w:t>
      </w:r>
      <w:r>
        <w:rPr>
          <w:rFonts w:hint="eastAsia" w:ascii="黑体" w:hAnsi="宋体" w:eastAsia="黑体"/>
          <w:kern w:val="0"/>
          <w:sz w:val="32"/>
          <w:szCs w:val="32"/>
        </w:rPr>
        <w:t>2021年一般公共预算项目支出情况说明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项目名称:发热门诊呼吸道传染病发现能力提升项目</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设立的政策依据：直达资金2020年哈市财社153号文</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预算安排规模：616</w:t>
      </w:r>
      <w:r>
        <w:rPr>
          <w:rFonts w:ascii="仿宋_GB2312" w:hAnsi="黑体" w:eastAsia="仿宋_GB2312"/>
          <w:bCs/>
          <w:kern w:val="0"/>
          <w:sz w:val="32"/>
          <w:szCs w:val="32"/>
        </w:rPr>
        <w:t>.00</w:t>
      </w:r>
      <w:r>
        <w:rPr>
          <w:rFonts w:hint="eastAsia" w:ascii="仿宋_GB2312" w:hAnsi="黑体" w:eastAsia="仿宋_GB2312"/>
          <w:bCs/>
          <w:kern w:val="0"/>
          <w:sz w:val="32"/>
          <w:szCs w:val="32"/>
        </w:rPr>
        <w:t>万元</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项目承担单位：江西金梦医疗器械有限公司、新疆新平果医疗技术有限公司、新疆铖铎医疗科技有限公司、中山大学达安基因股份有限公司、新疆晨茂医疗科技发展有限公司、乌鲁木齐西域医鸣商贸有限公司、哈密市诚和医疗器械有限公司、哈密意康医疗器械有限公司、哈密古程彩钢有限公司。</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资金分配情况：江西金梦医疗器械有限公司163.12万元、新疆新平果医疗技术有限公司15.42万元、新疆铖铎医疗科技有限公司279.17万元、中山大学达安基因股份有限公司107.16万元、新疆晨茂医疗科技发展有限公司16.81万元、乌鲁木齐西域医鸣商贸有限公司1.89万元、哈密市诚和医疗器械有限公司11.6万元、哈密意康医疗器械有限公司1.7万元、哈密古程彩钢有限公司2.54万元。</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资金执行时间：</w:t>
      </w:r>
      <w:r>
        <w:rPr>
          <w:rFonts w:hint="eastAsia" w:ascii="仿宋_GB2312" w:hAnsi="宋体" w:eastAsia="仿宋_GB2312"/>
          <w:kern w:val="0"/>
          <w:sz w:val="32"/>
          <w:szCs w:val="32"/>
        </w:rPr>
        <w:t>2021年1月1日至2021年12月31日</w:t>
      </w:r>
    </w:p>
    <w:p>
      <w:pPr>
        <w:widowControl/>
        <w:spacing w:line="560" w:lineRule="exact"/>
        <w:ind w:firstLine="640"/>
        <w:jc w:val="left"/>
        <w:rPr>
          <w:rFonts w:ascii="仿宋_GB2312" w:hAnsi="黑体" w:eastAsia="仿宋_GB2312"/>
          <w:bCs/>
          <w:kern w:val="0"/>
          <w:sz w:val="32"/>
          <w:szCs w:val="32"/>
        </w:rPr>
      </w:pPr>
    </w:p>
    <w:p>
      <w:pPr>
        <w:spacing w:line="560" w:lineRule="exact"/>
        <w:ind w:firstLine="640" w:firstLineChars="200"/>
        <w:rPr>
          <w:rFonts w:ascii="黑体" w:hAnsi="宋体" w:eastAsia="黑体"/>
          <w:kern w:val="0"/>
          <w:sz w:val="32"/>
          <w:szCs w:val="32"/>
        </w:rPr>
      </w:pPr>
      <w:r>
        <w:rPr>
          <w:rFonts w:hint="eastAsia" w:ascii="黑体" w:hAnsi="宋体" w:eastAsia="黑体"/>
          <w:kern w:val="0"/>
          <w:sz w:val="32"/>
          <w:szCs w:val="32"/>
        </w:rPr>
        <w:t>八、关于伊州区人民医院部门2021年一般公共预算“三公”经费预算情况说明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伊州区人民医院部门2021年一般公共预算“三公”经费数为0万元，其中：因公出国（境）费0万元，公务用车购置0万元，公务用车运行费0万元，公务接待费0万元。</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2021年一般公共预算“三公”经费比上年增加0万元，其中：因公出国（境）费增加0万元，主要原因是未安排预算；公务用车购置费</w:t>
      </w:r>
      <w:r>
        <w:rPr>
          <w:rFonts w:hint="eastAsia" w:ascii="仿宋_GB2312" w:hAnsi="黑体" w:eastAsia="仿宋_GB2312"/>
          <w:bCs/>
          <w:kern w:val="0"/>
          <w:sz w:val="32"/>
          <w:szCs w:val="32"/>
          <w:lang w:eastAsia="zh-CN"/>
        </w:rPr>
        <w:t>增加</w:t>
      </w:r>
      <w:r>
        <w:rPr>
          <w:rFonts w:hint="eastAsia" w:ascii="仿宋_GB2312" w:hAnsi="黑体" w:eastAsia="仿宋_GB2312"/>
          <w:bCs/>
          <w:kern w:val="0"/>
          <w:sz w:val="32"/>
          <w:szCs w:val="32"/>
        </w:rPr>
        <w:t>0万元，主要原因是未安排预算；公务用车运行费增加0万元，主要原因是未安排预算；公务接待费增加0万元，主要原因是未安排预算。</w:t>
      </w:r>
    </w:p>
    <w:p>
      <w:pPr>
        <w:widowControl/>
        <w:spacing w:line="560" w:lineRule="exact"/>
        <w:ind w:firstLine="640"/>
        <w:jc w:val="left"/>
        <w:rPr>
          <w:rFonts w:ascii="仿宋_GB2312" w:hAnsi="黑体" w:eastAsia="仿宋_GB2312"/>
          <w:bCs/>
          <w:kern w:val="0"/>
          <w:sz w:val="32"/>
          <w:szCs w:val="32"/>
        </w:rPr>
      </w:pPr>
    </w:p>
    <w:p>
      <w:pPr>
        <w:spacing w:line="560" w:lineRule="exact"/>
        <w:ind w:firstLine="640" w:firstLineChars="200"/>
        <w:rPr>
          <w:rFonts w:ascii="黑体" w:hAnsi="宋体" w:eastAsia="黑体"/>
          <w:kern w:val="0"/>
          <w:sz w:val="32"/>
          <w:szCs w:val="32"/>
        </w:rPr>
      </w:pPr>
      <w:r>
        <w:rPr>
          <w:rFonts w:hint="eastAsia" w:ascii="黑体" w:hAnsi="宋体" w:eastAsia="黑体"/>
          <w:kern w:val="0"/>
          <w:sz w:val="32"/>
          <w:szCs w:val="32"/>
        </w:rPr>
        <w:t>九、关于伊州区人民医院部门2021年政府性基金预算拨款情况说明</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伊州区人民医院部门2021年政府性基金支出预算支出10.7</w:t>
      </w:r>
      <w:r>
        <w:rPr>
          <w:rFonts w:ascii="仿宋_GB2312" w:hAnsi="黑体" w:eastAsia="仿宋_GB2312"/>
          <w:bCs/>
          <w:kern w:val="0"/>
          <w:sz w:val="32"/>
          <w:szCs w:val="32"/>
        </w:rPr>
        <w:t>0</w:t>
      </w:r>
      <w:r>
        <w:rPr>
          <w:rFonts w:hint="eastAsia" w:ascii="仿宋_GB2312" w:hAnsi="黑体" w:eastAsia="仿宋_GB2312"/>
          <w:bCs/>
          <w:kern w:val="0"/>
          <w:sz w:val="32"/>
          <w:szCs w:val="32"/>
        </w:rPr>
        <w:t>万元。与上年相比增加2.23万元，增长26.32%。主要原因是全口径监测平台还款预算经费增加。其中：</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1．城乡社区支出（221类）国有土地使用权出让收入及对应专项债务收入安排的支出（08款）城市建设支出（03项）支出10.7</w:t>
      </w:r>
      <w:r>
        <w:rPr>
          <w:rFonts w:ascii="仿宋_GB2312" w:hAnsi="黑体" w:eastAsia="仿宋_GB2312"/>
          <w:bCs/>
          <w:kern w:val="0"/>
          <w:sz w:val="32"/>
          <w:szCs w:val="32"/>
        </w:rPr>
        <w:t>0</w:t>
      </w:r>
      <w:r>
        <w:rPr>
          <w:rFonts w:hint="eastAsia" w:ascii="仿宋_GB2312" w:hAnsi="黑体" w:eastAsia="仿宋_GB2312"/>
          <w:bCs/>
          <w:kern w:val="0"/>
          <w:sz w:val="32"/>
          <w:szCs w:val="32"/>
        </w:rPr>
        <w:t>万元，主要是用于全口径监测平台还款。</w:t>
      </w:r>
    </w:p>
    <w:p>
      <w:pPr>
        <w:widowControl/>
        <w:spacing w:line="560" w:lineRule="exact"/>
        <w:ind w:firstLine="640"/>
        <w:jc w:val="left"/>
        <w:rPr>
          <w:rFonts w:ascii="仿宋_GB2312" w:hAnsi="黑体" w:eastAsia="仿宋_GB2312"/>
          <w:bCs/>
          <w:kern w:val="0"/>
          <w:sz w:val="32"/>
          <w:szCs w:val="32"/>
        </w:rPr>
      </w:pPr>
    </w:p>
    <w:p>
      <w:pPr>
        <w:spacing w:line="560" w:lineRule="exact"/>
        <w:ind w:firstLine="640" w:firstLineChars="200"/>
        <w:rPr>
          <w:rFonts w:ascii="黑体" w:hAnsi="宋体" w:eastAsia="黑体"/>
          <w:kern w:val="0"/>
          <w:sz w:val="32"/>
          <w:szCs w:val="32"/>
        </w:rPr>
      </w:pPr>
      <w:r>
        <w:rPr>
          <w:rFonts w:hint="eastAsia" w:ascii="黑体" w:hAnsi="宋体" w:eastAsia="黑体"/>
          <w:kern w:val="0"/>
          <w:sz w:val="32"/>
          <w:szCs w:val="32"/>
        </w:rPr>
        <w:t>十、其他重要事项的情况说明</w:t>
      </w:r>
    </w:p>
    <w:p>
      <w:pPr>
        <w:spacing w:line="560" w:lineRule="exact"/>
        <w:ind w:firstLine="640" w:firstLineChars="200"/>
        <w:rPr>
          <w:rFonts w:ascii="黑体" w:hAnsi="宋体" w:eastAsia="黑体"/>
          <w:kern w:val="0"/>
          <w:sz w:val="32"/>
          <w:szCs w:val="32"/>
        </w:rPr>
      </w:pPr>
      <w:r>
        <w:rPr>
          <w:rFonts w:hint="eastAsia" w:ascii="黑体" w:hAnsi="宋体" w:eastAsia="黑体"/>
          <w:kern w:val="0"/>
          <w:sz w:val="32"/>
          <w:szCs w:val="32"/>
        </w:rPr>
        <w:t>（一）机关运行经费情况</w:t>
      </w:r>
    </w:p>
    <w:p>
      <w:pPr>
        <w:spacing w:line="560" w:lineRule="exact"/>
        <w:ind w:firstLine="640" w:firstLineChars="200"/>
        <w:rPr>
          <w:rFonts w:ascii="仿宋_GB2312" w:hAnsi="宋体"/>
          <w:kern w:val="0"/>
          <w:sz w:val="32"/>
          <w:szCs w:val="32"/>
        </w:rPr>
      </w:pPr>
      <w:r>
        <w:rPr>
          <w:rFonts w:hint="eastAsia" w:ascii="仿宋_GB2312" w:hAnsi="黑体" w:eastAsia="仿宋_GB2312"/>
          <w:bCs/>
          <w:kern w:val="0"/>
          <w:sz w:val="32"/>
          <w:szCs w:val="32"/>
        </w:rPr>
        <w:t>2021年，伊州区人民医院部门的机关运行经费财政拨款预算0万元，比上年预算增加0万元，增长0%。主要原因是未安排预算。</w:t>
      </w:r>
    </w:p>
    <w:p>
      <w:pPr>
        <w:spacing w:line="560" w:lineRule="exact"/>
        <w:ind w:firstLine="640" w:firstLineChars="200"/>
        <w:rPr>
          <w:rFonts w:ascii="黑体" w:hAnsi="宋体" w:eastAsia="黑体"/>
          <w:kern w:val="0"/>
          <w:sz w:val="32"/>
          <w:szCs w:val="32"/>
        </w:rPr>
      </w:pPr>
      <w:r>
        <w:rPr>
          <w:rFonts w:hint="eastAsia" w:ascii="黑体" w:hAnsi="宋体" w:eastAsia="黑体"/>
          <w:kern w:val="0"/>
          <w:sz w:val="32"/>
          <w:szCs w:val="32"/>
        </w:rPr>
        <w:t>（二）政府采购情况</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2021年，伊州区人民医院部门政府采购预算0万元，其中：政府采购货物预算0万元，政府采购工程预算0万元，政府采购服务预算0万元。</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2021年度部门面向中小企业预留政府采购项目预算金额0万元，其中：面向小微企业预留政府采购项目预算金额0万元。</w:t>
      </w:r>
    </w:p>
    <w:p>
      <w:pPr>
        <w:spacing w:line="560" w:lineRule="exact"/>
        <w:ind w:firstLine="640" w:firstLineChars="200"/>
        <w:rPr>
          <w:rFonts w:ascii="黑体" w:hAnsi="宋体" w:eastAsia="黑体"/>
          <w:kern w:val="0"/>
          <w:sz w:val="32"/>
          <w:szCs w:val="32"/>
        </w:rPr>
      </w:pPr>
      <w:r>
        <w:rPr>
          <w:rFonts w:hint="eastAsia" w:ascii="黑体" w:hAnsi="宋体" w:eastAsia="黑体"/>
          <w:kern w:val="0"/>
          <w:sz w:val="32"/>
          <w:szCs w:val="32"/>
        </w:rPr>
        <w:t>（三）国有资产占用使用情况</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截至2020年底，伊州区人民医院部门及下属各预算单位占用使用国有资产总体情况为</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1.房屋27868平方米，价值4461.88万元。</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2.车辆4辆，价值277.54万元；其中：一般公务用车1辆，价值16万元；执法执勤用车0辆，价值0万元；其他车辆3辆，价值261.54万元。</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3.办公家具价值48.7</w:t>
      </w:r>
      <w:r>
        <w:rPr>
          <w:rFonts w:ascii="仿宋_GB2312" w:hAnsi="黑体" w:eastAsia="仿宋_GB2312"/>
          <w:bCs/>
          <w:kern w:val="0"/>
          <w:sz w:val="32"/>
          <w:szCs w:val="32"/>
        </w:rPr>
        <w:t>0</w:t>
      </w:r>
      <w:r>
        <w:rPr>
          <w:rFonts w:hint="eastAsia" w:ascii="仿宋_GB2312" w:hAnsi="黑体" w:eastAsia="仿宋_GB2312"/>
          <w:bCs/>
          <w:kern w:val="0"/>
          <w:sz w:val="32"/>
          <w:szCs w:val="32"/>
        </w:rPr>
        <w:t>万元。</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4.其他资产价值12143.88万元。</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单位价值50万元以上大型设备3台（套），单位价值100万元以上大型设备28台（套）。</w:t>
      </w:r>
    </w:p>
    <w:p>
      <w:pPr>
        <w:widowControl/>
        <w:spacing w:line="560" w:lineRule="exact"/>
        <w:ind w:firstLine="640"/>
        <w:jc w:val="left"/>
        <w:rPr>
          <w:rFonts w:ascii="仿宋_GB2312" w:hAnsi="黑体" w:eastAsia="仿宋_GB2312"/>
          <w:bCs/>
          <w:kern w:val="0"/>
          <w:sz w:val="32"/>
          <w:szCs w:val="32"/>
        </w:rPr>
      </w:pPr>
      <w:r>
        <w:rPr>
          <w:rFonts w:hint="eastAsia" w:ascii="仿宋_GB2312" w:hAnsi="黑体" w:eastAsia="仿宋_GB2312"/>
          <w:bCs/>
          <w:kern w:val="0"/>
          <w:sz w:val="32"/>
          <w:szCs w:val="32"/>
        </w:rPr>
        <w:t>2021年部门预算未安排购置车辆经费，安排购置50万元以上大型设备0台（套），单位价值100万元以上大型设备0台（套）。</w:t>
      </w:r>
    </w:p>
    <w:p>
      <w:pPr>
        <w:spacing w:line="560" w:lineRule="exact"/>
        <w:ind w:firstLine="640" w:firstLineChars="200"/>
        <w:rPr>
          <w:rFonts w:ascii="黑体" w:hAnsi="宋体" w:eastAsia="黑体"/>
          <w:kern w:val="0"/>
          <w:sz w:val="32"/>
          <w:szCs w:val="32"/>
        </w:rPr>
      </w:pPr>
      <w:r>
        <w:rPr>
          <w:rFonts w:hint="eastAsia" w:ascii="黑体" w:hAnsi="宋体" w:eastAsia="黑体"/>
          <w:kern w:val="0"/>
          <w:sz w:val="32"/>
          <w:szCs w:val="32"/>
        </w:rPr>
        <w:t>（四）预算绩效情况</w:t>
      </w:r>
    </w:p>
    <w:p>
      <w:pPr>
        <w:spacing w:line="560" w:lineRule="exact"/>
        <w:ind w:firstLine="640" w:firstLineChars="200"/>
        <w:rPr>
          <w:rFonts w:ascii="仿宋_GB2312" w:hAnsi="宋体"/>
          <w:kern w:val="0"/>
          <w:sz w:val="32"/>
          <w:szCs w:val="32"/>
        </w:rPr>
      </w:pPr>
      <w:r>
        <w:rPr>
          <w:rFonts w:hint="eastAsia" w:ascii="仿宋_GB2312" w:hAnsi="黑体" w:eastAsia="仿宋_GB2312"/>
          <w:bCs/>
          <w:kern w:val="0"/>
          <w:sz w:val="32"/>
          <w:szCs w:val="32"/>
        </w:rPr>
        <w:t>2021年度，本年度实行绩效管理的一般公共预算项目1个，涉及预算金额616</w:t>
      </w:r>
      <w:r>
        <w:rPr>
          <w:rFonts w:ascii="仿宋_GB2312" w:hAnsi="黑体" w:eastAsia="仿宋_GB2312"/>
          <w:bCs/>
          <w:kern w:val="0"/>
          <w:sz w:val="32"/>
          <w:szCs w:val="32"/>
        </w:rPr>
        <w:t>.00</w:t>
      </w:r>
      <w:r>
        <w:rPr>
          <w:rFonts w:hint="eastAsia" w:ascii="仿宋_GB2312" w:hAnsi="黑体" w:eastAsia="仿宋_GB2312"/>
          <w:bCs/>
          <w:kern w:val="0"/>
          <w:sz w:val="32"/>
          <w:szCs w:val="32"/>
        </w:rPr>
        <w:t>万元。具体情况见下表（按项目分别填报）：</w:t>
      </w:r>
    </w:p>
    <w:p>
      <w:pPr>
        <w:spacing w:line="560" w:lineRule="exact"/>
        <w:ind w:firstLine="640" w:firstLineChars="200"/>
        <w:rPr>
          <w:rFonts w:ascii="仿宋_GB2312" w:hAnsi="宋体"/>
          <w:kern w:val="0"/>
          <w:sz w:val="32"/>
          <w:szCs w:val="32"/>
        </w:rPr>
      </w:pPr>
      <w:r>
        <w:rPr>
          <w:rFonts w:ascii="仿宋_GB2312" w:hAnsi="宋体"/>
          <w:kern w:val="0"/>
          <w:sz w:val="32"/>
          <w:szCs w:val="32"/>
        </w:rPr>
        <w:br w:type="page"/>
      </w:r>
    </w:p>
    <w:tbl>
      <w:tblPr>
        <w:tblStyle w:val="4"/>
        <w:tblW w:w="8815" w:type="dxa"/>
        <w:tblInd w:w="96" w:type="dxa"/>
        <w:tblLayout w:type="fixed"/>
        <w:tblCellMar>
          <w:top w:w="0" w:type="dxa"/>
          <w:left w:w="0" w:type="dxa"/>
          <w:bottom w:w="0" w:type="dxa"/>
          <w:right w:w="0" w:type="dxa"/>
        </w:tblCellMar>
      </w:tblPr>
      <w:tblGrid>
        <w:gridCol w:w="960"/>
        <w:gridCol w:w="1452"/>
        <w:gridCol w:w="1224"/>
        <w:gridCol w:w="1476"/>
        <w:gridCol w:w="1039"/>
        <w:gridCol w:w="1481"/>
        <w:gridCol w:w="1183"/>
      </w:tblGrid>
      <w:tr>
        <w:tblPrEx>
          <w:tblLayout w:type="fixed"/>
          <w:tblCellMar>
            <w:top w:w="0" w:type="dxa"/>
            <w:left w:w="0" w:type="dxa"/>
            <w:bottom w:w="0" w:type="dxa"/>
            <w:right w:w="0" w:type="dxa"/>
          </w:tblCellMar>
        </w:tblPrEx>
        <w:trPr>
          <w:trHeight w:val="480" w:hRule="atLeast"/>
        </w:trPr>
        <w:tc>
          <w:tcPr>
            <w:tcW w:w="8815" w:type="dxa"/>
            <w:gridSpan w:val="7"/>
            <w:tcBorders>
              <w:top w:val="nil"/>
              <w:left w:val="nil"/>
              <w:bottom w:val="nil"/>
              <w:right w:val="nil"/>
            </w:tcBorders>
            <w:noWrap/>
            <w:tcMar>
              <w:top w:w="12" w:type="dxa"/>
              <w:left w:w="12" w:type="dxa"/>
              <w:bottom w:w="0" w:type="dxa"/>
              <w:right w:w="12" w:type="dxa"/>
            </w:tcMar>
            <w:vAlign w:val="bottom"/>
          </w:tcPr>
          <w:p>
            <w:pPr>
              <w:widowControl/>
              <w:spacing w:line="480" w:lineRule="exact"/>
              <w:jc w:val="center"/>
              <w:textAlignment w:val="bottom"/>
              <w:rPr>
                <w:rFonts w:ascii="仿宋_GB2312" w:hAnsi="宋体"/>
                <w:b/>
                <w:bCs/>
                <w:color w:val="000000"/>
                <w:sz w:val="32"/>
                <w:szCs w:val="32"/>
              </w:rPr>
            </w:pPr>
            <w:r>
              <w:rPr>
                <w:rFonts w:ascii="仿宋_GB2312" w:hAnsi="宋体"/>
                <w:b/>
                <w:bCs/>
                <w:color w:val="000000"/>
                <w:kern w:val="0"/>
                <w:sz w:val="32"/>
                <w:szCs w:val="32"/>
              </w:rPr>
              <w:t>项  目  支  出  绩  效  目  标  表</w:t>
            </w:r>
          </w:p>
        </w:tc>
      </w:tr>
      <w:tr>
        <w:tblPrEx>
          <w:tblLayout w:type="fixed"/>
          <w:tblCellMar>
            <w:top w:w="0" w:type="dxa"/>
            <w:left w:w="0" w:type="dxa"/>
            <w:bottom w:w="0" w:type="dxa"/>
            <w:right w:w="0" w:type="dxa"/>
          </w:tblCellMar>
        </w:tblPrEx>
        <w:trPr>
          <w:trHeight w:val="380" w:hRule="atLeast"/>
        </w:trPr>
        <w:tc>
          <w:tcPr>
            <w:tcW w:w="8815" w:type="dxa"/>
            <w:gridSpan w:val="7"/>
            <w:tcBorders>
              <w:top w:val="nil"/>
              <w:left w:val="nil"/>
              <w:bottom w:val="nil"/>
              <w:right w:val="nil"/>
            </w:tcBorders>
            <w:noWrap/>
            <w:tcMar>
              <w:top w:w="12" w:type="dxa"/>
              <w:left w:w="12" w:type="dxa"/>
              <w:bottom w:w="0" w:type="dxa"/>
              <w:right w:w="12" w:type="dxa"/>
            </w:tcMar>
            <w:vAlign w:val="bottom"/>
          </w:tcPr>
          <w:p>
            <w:pPr>
              <w:widowControl/>
              <w:spacing w:line="480" w:lineRule="exact"/>
              <w:jc w:val="center"/>
              <w:textAlignment w:val="bottom"/>
              <w:rPr>
                <w:rFonts w:ascii="宋体" w:hAnsi="宋体"/>
                <w:color w:val="000000"/>
                <w:sz w:val="22"/>
                <w:szCs w:val="22"/>
              </w:rPr>
            </w:pPr>
            <w:r>
              <w:rPr>
                <w:rFonts w:hint="eastAsia" w:ascii="宋体" w:hAnsi="宋体"/>
                <w:color w:val="000000"/>
                <w:kern w:val="0"/>
                <w:sz w:val="22"/>
                <w:szCs w:val="22"/>
              </w:rPr>
              <w:t>（2021年）</w:t>
            </w:r>
          </w:p>
        </w:tc>
      </w:tr>
      <w:tr>
        <w:tblPrEx>
          <w:tblLayout w:type="fixed"/>
          <w:tblCellMar>
            <w:top w:w="0" w:type="dxa"/>
            <w:left w:w="0" w:type="dxa"/>
            <w:bottom w:w="0" w:type="dxa"/>
            <w:right w:w="0" w:type="dxa"/>
          </w:tblCellMar>
        </w:tblPrEx>
        <w:trPr>
          <w:trHeight w:val="50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b/>
                <w:bCs/>
                <w:color w:val="000000"/>
                <w:sz w:val="18"/>
                <w:szCs w:val="18"/>
              </w:rPr>
            </w:pPr>
            <w:r>
              <w:rPr>
                <w:rFonts w:hint="eastAsia" w:ascii="宋体" w:hAnsi="宋体"/>
                <w:b/>
                <w:bCs/>
                <w:color w:val="000000"/>
                <w:kern w:val="0"/>
                <w:sz w:val="18"/>
                <w:szCs w:val="18"/>
              </w:rPr>
              <w:t>预算单位</w:t>
            </w:r>
          </w:p>
        </w:tc>
        <w:tc>
          <w:tcPr>
            <w:tcW w:w="4152" w:type="dxa"/>
            <w:gridSpan w:val="3"/>
            <w:tcBorders>
              <w:top w:val="single" w:color="000000" w:sz="4" w:space="0"/>
              <w:left w:val="nil"/>
              <w:bottom w:val="single" w:color="000000" w:sz="4" w:space="0"/>
              <w:right w:val="nil"/>
            </w:tcBorders>
            <w:tcMar>
              <w:top w:w="12" w:type="dxa"/>
              <w:left w:w="12" w:type="dxa"/>
              <w:bottom w:w="0" w:type="dxa"/>
              <w:right w:w="12" w:type="dxa"/>
            </w:tcMar>
            <w:vAlign w:val="center"/>
          </w:tcPr>
          <w:p>
            <w:pPr>
              <w:widowControl/>
              <w:spacing w:line="480" w:lineRule="exact"/>
              <w:jc w:val="left"/>
              <w:textAlignment w:val="center"/>
              <w:rPr>
                <w:rFonts w:ascii="宋体" w:hAnsi="宋体"/>
                <w:color w:val="000000"/>
                <w:sz w:val="18"/>
                <w:szCs w:val="18"/>
              </w:rPr>
            </w:pPr>
            <w:r>
              <w:rPr>
                <w:rFonts w:hint="eastAsia" w:ascii="宋体" w:hAnsi="宋体"/>
                <w:color w:val="000000"/>
                <w:sz w:val="18"/>
                <w:szCs w:val="18"/>
              </w:rPr>
              <w:t xml:space="preserve">      伊州区人民医院                            </w:t>
            </w:r>
          </w:p>
        </w:tc>
        <w:tc>
          <w:tcPr>
            <w:tcW w:w="1039"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b/>
                <w:bCs/>
                <w:color w:val="000000"/>
                <w:sz w:val="18"/>
                <w:szCs w:val="18"/>
              </w:rPr>
            </w:pPr>
            <w:r>
              <w:rPr>
                <w:rFonts w:hint="eastAsia" w:ascii="宋体" w:hAnsi="宋体"/>
                <w:b/>
                <w:bCs/>
                <w:color w:val="000000"/>
                <w:kern w:val="0"/>
                <w:sz w:val="18"/>
                <w:szCs w:val="18"/>
              </w:rPr>
              <w:t>项目名称</w:t>
            </w: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560" w:lineRule="exact"/>
              <w:rPr>
                <w:rFonts w:ascii="宋体" w:hAnsi="宋体"/>
                <w:color w:val="000000"/>
                <w:sz w:val="18"/>
                <w:szCs w:val="18"/>
              </w:rPr>
            </w:pPr>
            <w:r>
              <w:rPr>
                <w:rFonts w:hint="eastAsia" w:ascii="宋体" w:hAnsi="宋体"/>
                <w:color w:val="000000"/>
                <w:sz w:val="18"/>
                <w:szCs w:val="18"/>
              </w:rPr>
              <w:t>发热门诊确诊呼吸道传染病能力提升</w:t>
            </w:r>
          </w:p>
          <w:p>
            <w:pPr>
              <w:widowControl/>
              <w:spacing w:line="480" w:lineRule="exact"/>
              <w:jc w:val="left"/>
              <w:textAlignment w:val="center"/>
              <w:rPr>
                <w:rFonts w:ascii="宋体" w:hAnsi="宋体"/>
                <w:color w:val="000000"/>
                <w:sz w:val="18"/>
                <w:szCs w:val="18"/>
              </w:rPr>
            </w:pPr>
          </w:p>
        </w:tc>
      </w:tr>
      <w:tr>
        <w:tblPrEx>
          <w:tblLayout w:type="fixed"/>
          <w:tblCellMar>
            <w:top w:w="0" w:type="dxa"/>
            <w:left w:w="0" w:type="dxa"/>
            <w:bottom w:w="0" w:type="dxa"/>
            <w:right w:w="0" w:type="dxa"/>
          </w:tblCellMar>
        </w:tblPrEx>
        <w:trPr>
          <w:trHeight w:val="54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b/>
                <w:bCs/>
                <w:color w:val="000000"/>
                <w:sz w:val="18"/>
                <w:szCs w:val="18"/>
              </w:rPr>
            </w:pPr>
            <w:r>
              <w:rPr>
                <w:rFonts w:hint="eastAsia" w:ascii="宋体" w:hAnsi="宋体"/>
                <w:b/>
                <w:bCs/>
                <w:color w:val="000000"/>
                <w:kern w:val="0"/>
                <w:sz w:val="18"/>
                <w:szCs w:val="18"/>
              </w:rPr>
              <w:t>项目资金（万元）</w:t>
            </w:r>
          </w:p>
        </w:tc>
        <w:tc>
          <w:tcPr>
            <w:tcW w:w="1452" w:type="dxa"/>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color w:val="000000"/>
                <w:sz w:val="18"/>
                <w:szCs w:val="18"/>
              </w:rPr>
            </w:pPr>
            <w:r>
              <w:rPr>
                <w:rFonts w:hint="eastAsia" w:ascii="宋体" w:hAnsi="宋体"/>
                <w:color w:val="000000"/>
                <w:kern w:val="0"/>
                <w:sz w:val="18"/>
                <w:szCs w:val="18"/>
              </w:rPr>
              <w:t>年度资金总额：</w:t>
            </w:r>
          </w:p>
        </w:tc>
        <w:tc>
          <w:tcPr>
            <w:tcW w:w="1224" w:type="dxa"/>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rPr>
                <w:rFonts w:ascii="宋体" w:hAnsi="宋体"/>
                <w:color w:val="000000"/>
                <w:sz w:val="18"/>
                <w:szCs w:val="18"/>
              </w:rPr>
            </w:pPr>
            <w:r>
              <w:rPr>
                <w:rFonts w:hint="eastAsia" w:ascii="宋体" w:hAnsi="宋体"/>
                <w:color w:val="000000"/>
                <w:sz w:val="18"/>
                <w:szCs w:val="18"/>
              </w:rPr>
              <w:t xml:space="preserve">  616万元   </w:t>
            </w:r>
          </w:p>
        </w:tc>
        <w:tc>
          <w:tcPr>
            <w:tcW w:w="1476" w:type="dxa"/>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color w:val="000000"/>
                <w:sz w:val="18"/>
                <w:szCs w:val="18"/>
              </w:rPr>
            </w:pPr>
            <w:r>
              <w:rPr>
                <w:rFonts w:hint="eastAsia" w:ascii="宋体" w:hAnsi="宋体"/>
                <w:color w:val="000000"/>
                <w:kern w:val="0"/>
                <w:sz w:val="18"/>
                <w:szCs w:val="18"/>
              </w:rPr>
              <w:t>其中：财政拨款</w:t>
            </w:r>
          </w:p>
        </w:tc>
        <w:tc>
          <w:tcPr>
            <w:tcW w:w="1039" w:type="dxa"/>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rPr>
                <w:rFonts w:ascii="宋体" w:hAnsi="宋体"/>
                <w:color w:val="000000"/>
                <w:sz w:val="18"/>
                <w:szCs w:val="18"/>
              </w:rPr>
            </w:pPr>
            <w:r>
              <w:rPr>
                <w:rFonts w:hint="eastAsia" w:ascii="宋体" w:hAnsi="宋体"/>
                <w:color w:val="000000"/>
                <w:sz w:val="18"/>
                <w:szCs w:val="18"/>
              </w:rPr>
              <w:t xml:space="preserve">616万元    </w:t>
            </w:r>
          </w:p>
        </w:tc>
        <w:tc>
          <w:tcPr>
            <w:tcW w:w="1481" w:type="dxa"/>
            <w:tcBorders>
              <w:top w:val="nil"/>
              <w:left w:val="nil"/>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color w:val="000000"/>
                <w:sz w:val="18"/>
                <w:szCs w:val="18"/>
              </w:rPr>
            </w:pPr>
            <w:r>
              <w:rPr>
                <w:rFonts w:hint="eastAsia" w:ascii="宋体" w:hAnsi="宋体"/>
                <w:color w:val="000000"/>
                <w:kern w:val="0"/>
                <w:sz w:val="18"/>
                <w:szCs w:val="18"/>
              </w:rPr>
              <w:t>其他资金</w:t>
            </w:r>
          </w:p>
        </w:tc>
        <w:tc>
          <w:tcPr>
            <w:tcW w:w="1183" w:type="dxa"/>
            <w:tcBorders>
              <w:top w:val="nil"/>
              <w:left w:val="nil"/>
              <w:bottom w:val="single" w:color="000000" w:sz="4" w:space="0"/>
              <w:right w:val="single" w:color="000000" w:sz="4" w:space="0"/>
            </w:tcBorders>
            <w:tcMar>
              <w:top w:w="12" w:type="dxa"/>
              <w:left w:w="12" w:type="dxa"/>
              <w:bottom w:w="0" w:type="dxa"/>
              <w:right w:w="12" w:type="dxa"/>
            </w:tcMar>
            <w:vAlign w:val="center"/>
          </w:tcPr>
          <w:p>
            <w:pPr>
              <w:spacing w:line="480" w:lineRule="exact"/>
              <w:rPr>
                <w:rFonts w:ascii="宋体" w:hAnsi="宋体"/>
                <w:color w:val="000000"/>
                <w:sz w:val="18"/>
                <w:szCs w:val="18"/>
              </w:rPr>
            </w:pPr>
            <w:r>
              <w:rPr>
                <w:rFonts w:hint="eastAsia" w:ascii="宋体" w:hAnsi="宋体"/>
                <w:color w:val="000000"/>
                <w:sz w:val="18"/>
                <w:szCs w:val="18"/>
              </w:rPr>
              <w:t xml:space="preserve">         </w:t>
            </w:r>
          </w:p>
        </w:tc>
      </w:tr>
      <w:tr>
        <w:tblPrEx>
          <w:tblLayout w:type="fixed"/>
          <w:tblCellMar>
            <w:top w:w="0" w:type="dxa"/>
            <w:left w:w="0" w:type="dxa"/>
            <w:bottom w:w="0" w:type="dxa"/>
            <w:right w:w="0" w:type="dxa"/>
          </w:tblCellMar>
        </w:tblPrEx>
        <w:trPr>
          <w:trHeight w:val="110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b/>
                <w:bCs/>
                <w:color w:val="000000"/>
                <w:sz w:val="18"/>
                <w:szCs w:val="18"/>
              </w:rPr>
            </w:pPr>
            <w:r>
              <w:rPr>
                <w:rFonts w:hint="eastAsia" w:ascii="宋体" w:hAnsi="宋体"/>
                <w:b/>
                <w:bCs/>
                <w:color w:val="000000"/>
                <w:kern w:val="0"/>
                <w:sz w:val="18"/>
                <w:szCs w:val="18"/>
              </w:rPr>
              <w:t>项目总体目标</w:t>
            </w:r>
          </w:p>
        </w:tc>
        <w:tc>
          <w:tcPr>
            <w:tcW w:w="7855" w:type="dxa"/>
            <w:gridSpan w:val="6"/>
            <w:tcBorders>
              <w:top w:val="single" w:color="000000" w:sz="4" w:space="0"/>
              <w:left w:val="nil"/>
              <w:bottom w:val="single" w:color="000000" w:sz="4" w:space="0"/>
              <w:right w:val="single" w:color="000000" w:sz="4" w:space="0"/>
            </w:tcBorders>
            <w:tcMar>
              <w:top w:w="12" w:type="dxa"/>
              <w:left w:w="12" w:type="dxa"/>
              <w:bottom w:w="0" w:type="dxa"/>
              <w:right w:w="12" w:type="dxa"/>
            </w:tcMar>
          </w:tcPr>
          <w:p>
            <w:pPr>
              <w:spacing w:line="540" w:lineRule="exact"/>
              <w:rPr>
                <w:rFonts w:ascii="宋体" w:hAnsi="宋体"/>
                <w:color w:val="000000"/>
                <w:sz w:val="18"/>
                <w:szCs w:val="18"/>
              </w:rPr>
            </w:pPr>
            <w:r>
              <w:rPr>
                <w:rFonts w:hint="eastAsia" w:ascii="宋体" w:hAnsi="宋体"/>
                <w:color w:val="000000"/>
                <w:sz w:val="18"/>
                <w:szCs w:val="18"/>
              </w:rPr>
              <w:t xml:space="preserve">   </w:t>
            </w:r>
            <w:r>
              <w:rPr>
                <w:rFonts w:ascii="宋体" w:hAnsi="宋体"/>
                <w:bCs/>
                <w:kern w:val="0"/>
                <w:sz w:val="18"/>
                <w:szCs w:val="18"/>
              </w:rPr>
              <w:t>提升医院医疗服务</w:t>
            </w:r>
            <w:r>
              <w:rPr>
                <w:rFonts w:hint="eastAsia" w:ascii="宋体" w:hAnsi="宋体"/>
                <w:bCs/>
                <w:kern w:val="0"/>
                <w:sz w:val="18"/>
                <w:szCs w:val="18"/>
              </w:rPr>
              <w:t>能力</w:t>
            </w:r>
            <w:r>
              <w:rPr>
                <w:rFonts w:ascii="宋体" w:hAnsi="宋体"/>
                <w:bCs/>
                <w:kern w:val="0"/>
                <w:sz w:val="18"/>
                <w:szCs w:val="18"/>
              </w:rPr>
              <w:t>，从软件、硬件各方面进行建设，</w:t>
            </w:r>
            <w:r>
              <w:rPr>
                <w:rFonts w:hint="eastAsia" w:ascii="宋体" w:hAnsi="宋体"/>
                <w:bCs/>
                <w:kern w:val="0"/>
                <w:sz w:val="18"/>
                <w:szCs w:val="18"/>
              </w:rPr>
              <w:t>更好地为辖区居民提供医疗服务</w:t>
            </w:r>
            <w:r>
              <w:rPr>
                <w:rFonts w:ascii="宋体" w:hAnsi="宋体"/>
                <w:bCs/>
                <w:kern w:val="0"/>
                <w:sz w:val="18"/>
                <w:szCs w:val="18"/>
              </w:rPr>
              <w:t>。</w:t>
            </w:r>
          </w:p>
        </w:tc>
      </w:tr>
      <w:tr>
        <w:tblPrEx>
          <w:tblLayout w:type="fixed"/>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b/>
                <w:bCs/>
                <w:color w:val="000000"/>
                <w:sz w:val="18"/>
                <w:szCs w:val="18"/>
              </w:rPr>
            </w:pPr>
            <w:r>
              <w:rPr>
                <w:rFonts w:hint="eastAsia" w:ascii="宋体" w:hAnsi="宋体"/>
                <w:b/>
                <w:bCs/>
                <w:color w:val="000000"/>
                <w:kern w:val="0"/>
                <w:sz w:val="18"/>
                <w:szCs w:val="18"/>
              </w:rPr>
              <w:t>一级指标</w:t>
            </w:r>
          </w:p>
        </w:tc>
        <w:tc>
          <w:tcPr>
            <w:tcW w:w="1452" w:type="dxa"/>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b/>
                <w:bCs/>
                <w:color w:val="000000"/>
                <w:sz w:val="18"/>
                <w:szCs w:val="18"/>
              </w:rPr>
            </w:pPr>
            <w:r>
              <w:rPr>
                <w:rFonts w:hint="eastAsia" w:ascii="宋体" w:hAnsi="宋体"/>
                <w:b/>
                <w:bCs/>
                <w:color w:val="000000"/>
                <w:kern w:val="0"/>
                <w:sz w:val="18"/>
                <w:szCs w:val="18"/>
              </w:rPr>
              <w:t>二级指标</w:t>
            </w: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b/>
                <w:bCs/>
                <w:color w:val="000000"/>
                <w:sz w:val="18"/>
                <w:szCs w:val="18"/>
              </w:rPr>
            </w:pPr>
            <w:r>
              <w:rPr>
                <w:rFonts w:hint="eastAsia" w:ascii="宋体" w:hAnsi="宋体"/>
                <w:b/>
                <w:bCs/>
                <w:color w:val="000000"/>
                <w:kern w:val="0"/>
                <w:sz w:val="18"/>
                <w:szCs w:val="18"/>
              </w:rPr>
              <w:t>三级指标</w:t>
            </w:r>
          </w:p>
        </w:tc>
        <w:tc>
          <w:tcPr>
            <w:tcW w:w="2664" w:type="dxa"/>
            <w:gridSpan w:val="2"/>
            <w:tcBorders>
              <w:top w:val="single" w:color="000000" w:sz="4" w:space="0"/>
              <w:left w:val="nil"/>
              <w:bottom w:val="single" w:color="000000" w:sz="4" w:space="0"/>
              <w:right w:val="single" w:color="000000" w:sz="4" w:space="0"/>
            </w:tcBorders>
            <w:noWrap/>
            <w:tcMar>
              <w:top w:w="12" w:type="dxa"/>
              <w:left w:w="12" w:type="dxa"/>
              <w:bottom w:w="0" w:type="dxa"/>
              <w:right w:w="12" w:type="dxa"/>
            </w:tcMar>
            <w:vAlign w:val="center"/>
          </w:tcPr>
          <w:p>
            <w:pPr>
              <w:widowControl/>
              <w:spacing w:line="480" w:lineRule="exact"/>
              <w:jc w:val="center"/>
              <w:textAlignment w:val="center"/>
              <w:rPr>
                <w:rFonts w:ascii="宋体" w:hAnsi="宋体"/>
                <w:b/>
                <w:bCs/>
                <w:color w:val="000000"/>
                <w:sz w:val="18"/>
                <w:szCs w:val="18"/>
              </w:rPr>
            </w:pPr>
            <w:r>
              <w:rPr>
                <w:rFonts w:hint="eastAsia" w:ascii="宋体" w:hAnsi="宋体"/>
                <w:b/>
                <w:bCs/>
                <w:color w:val="000000"/>
                <w:kern w:val="0"/>
                <w:sz w:val="18"/>
                <w:szCs w:val="18"/>
              </w:rPr>
              <w:t>指标值（包含数字及文字描述）</w:t>
            </w:r>
          </w:p>
        </w:tc>
      </w:tr>
      <w:tr>
        <w:tblPrEx>
          <w:tblLayout w:type="fixed"/>
          <w:tblCellMar>
            <w:top w:w="0" w:type="dxa"/>
            <w:left w:w="0" w:type="dxa"/>
            <w:bottom w:w="0" w:type="dxa"/>
            <w:right w:w="0" w:type="dxa"/>
          </w:tblCellMar>
        </w:tblPrEx>
        <w:trPr>
          <w:trHeight w:val="440" w:hRule="atLeast"/>
        </w:trPr>
        <w:tc>
          <w:tcPr>
            <w:tcW w:w="960" w:type="dxa"/>
            <w:vMerge w:val="restart"/>
            <w:tcBorders>
              <w:top w:val="nil"/>
              <w:left w:val="single" w:color="000000" w:sz="4" w:space="0"/>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color w:val="000000"/>
                <w:sz w:val="18"/>
                <w:szCs w:val="18"/>
              </w:rPr>
            </w:pPr>
            <w:r>
              <w:rPr>
                <w:rFonts w:hint="eastAsia" w:ascii="宋体" w:hAnsi="宋体"/>
                <w:color w:val="000000"/>
                <w:kern w:val="0"/>
                <w:sz w:val="18"/>
                <w:szCs w:val="18"/>
              </w:rPr>
              <w:t>产出指标</w:t>
            </w:r>
          </w:p>
        </w:tc>
        <w:tc>
          <w:tcPr>
            <w:tcW w:w="1452" w:type="dxa"/>
            <w:vMerge w:val="restart"/>
            <w:tcBorders>
              <w:top w:val="nil"/>
              <w:left w:val="nil"/>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color w:val="000000"/>
                <w:sz w:val="18"/>
                <w:szCs w:val="18"/>
              </w:rPr>
            </w:pPr>
            <w:r>
              <w:rPr>
                <w:rFonts w:hint="eastAsia" w:ascii="宋体" w:hAnsi="宋体"/>
                <w:color w:val="000000"/>
                <w:kern w:val="0"/>
                <w:sz w:val="18"/>
                <w:szCs w:val="18"/>
              </w:rPr>
              <w:t>数量指标</w:t>
            </w: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color w:val="000000"/>
                <w:sz w:val="18"/>
                <w:szCs w:val="18"/>
              </w:rPr>
              <w:t>发热门诊病房面积数</w:t>
            </w: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kern w:val="0"/>
                <w:sz w:val="18"/>
                <w:szCs w:val="18"/>
              </w:rPr>
              <w:t>＝</w:t>
            </w:r>
            <w:r>
              <w:rPr>
                <w:rFonts w:hint="eastAsia" w:ascii="宋体" w:hAnsi="宋体"/>
                <w:color w:val="000000"/>
                <w:sz w:val="18"/>
                <w:szCs w:val="18"/>
              </w:rPr>
              <w:t xml:space="preserve"> 700平方米</w:t>
            </w:r>
          </w:p>
        </w:tc>
      </w:tr>
      <w:tr>
        <w:tblPrEx>
          <w:tblLayout w:type="fixed"/>
          <w:tblCellMar>
            <w:top w:w="0" w:type="dxa"/>
            <w:left w:w="0" w:type="dxa"/>
            <w:bottom w:w="0" w:type="dxa"/>
            <w:right w:w="0" w:type="dxa"/>
          </w:tblCellMar>
        </w:tblPrEx>
        <w:trPr>
          <w:trHeight w:val="440" w:hRule="atLeast"/>
        </w:trPr>
        <w:tc>
          <w:tcPr>
            <w:tcW w:w="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sz w:val="18"/>
                <w:szCs w:val="18"/>
              </w:rPr>
            </w:pPr>
          </w:p>
        </w:tc>
        <w:tc>
          <w:tcPr>
            <w:tcW w:w="1452" w:type="dxa"/>
            <w:vMerge w:val="continue"/>
            <w:tcBorders>
              <w:top w:val="nil"/>
              <w:left w:val="nil"/>
              <w:bottom w:val="single" w:color="000000" w:sz="4" w:space="0"/>
              <w:right w:val="single" w:color="000000" w:sz="4" w:space="0"/>
            </w:tcBorders>
            <w:vAlign w:val="center"/>
          </w:tcPr>
          <w:p>
            <w:pPr>
              <w:widowControl/>
              <w:jc w:val="left"/>
              <w:rPr>
                <w:rFonts w:ascii="宋体" w:hAnsi="宋体"/>
                <w:color w:val="000000"/>
                <w:sz w:val="18"/>
                <w:szCs w:val="18"/>
              </w:rPr>
            </w:pP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color w:val="000000"/>
                <w:sz w:val="18"/>
                <w:szCs w:val="18"/>
              </w:rPr>
              <w:t>发热门诊附属设备组数</w:t>
            </w: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color w:val="000000"/>
                <w:sz w:val="18"/>
                <w:szCs w:val="18"/>
              </w:rPr>
              <w:t>≥ 6组</w:t>
            </w:r>
          </w:p>
        </w:tc>
      </w:tr>
      <w:tr>
        <w:tblPrEx>
          <w:tblLayout w:type="fixed"/>
          <w:tblCellMar>
            <w:top w:w="0" w:type="dxa"/>
            <w:left w:w="0" w:type="dxa"/>
            <w:bottom w:w="0" w:type="dxa"/>
            <w:right w:w="0" w:type="dxa"/>
          </w:tblCellMar>
        </w:tblPrEx>
        <w:trPr>
          <w:trHeight w:val="440" w:hRule="atLeast"/>
        </w:trPr>
        <w:tc>
          <w:tcPr>
            <w:tcW w:w="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sz w:val="18"/>
                <w:szCs w:val="18"/>
              </w:rPr>
            </w:pPr>
          </w:p>
        </w:tc>
        <w:tc>
          <w:tcPr>
            <w:tcW w:w="1452" w:type="dxa"/>
            <w:vMerge w:val="restart"/>
            <w:tcBorders>
              <w:top w:val="nil"/>
              <w:left w:val="nil"/>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color w:val="000000"/>
                <w:sz w:val="18"/>
                <w:szCs w:val="18"/>
              </w:rPr>
            </w:pPr>
            <w:r>
              <w:rPr>
                <w:rFonts w:hint="eastAsia" w:ascii="宋体" w:hAnsi="宋体"/>
                <w:color w:val="000000"/>
                <w:kern w:val="0"/>
                <w:sz w:val="18"/>
                <w:szCs w:val="18"/>
              </w:rPr>
              <w:t>质量指标</w:t>
            </w: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color w:val="000000"/>
                <w:sz w:val="18"/>
                <w:szCs w:val="18"/>
              </w:rPr>
              <w:t>设备安装调试结果合格率</w:t>
            </w: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kern w:val="0"/>
                <w:sz w:val="18"/>
                <w:szCs w:val="18"/>
              </w:rPr>
              <w:t>＝100%</w:t>
            </w:r>
          </w:p>
        </w:tc>
      </w:tr>
      <w:tr>
        <w:tblPrEx>
          <w:tblLayout w:type="fixed"/>
          <w:tblCellMar>
            <w:top w:w="0" w:type="dxa"/>
            <w:left w:w="0" w:type="dxa"/>
            <w:bottom w:w="0" w:type="dxa"/>
            <w:right w:w="0" w:type="dxa"/>
          </w:tblCellMar>
        </w:tblPrEx>
        <w:trPr>
          <w:trHeight w:val="440" w:hRule="atLeast"/>
        </w:trPr>
        <w:tc>
          <w:tcPr>
            <w:tcW w:w="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sz w:val="18"/>
                <w:szCs w:val="18"/>
              </w:rPr>
            </w:pPr>
          </w:p>
        </w:tc>
        <w:tc>
          <w:tcPr>
            <w:tcW w:w="1452" w:type="dxa"/>
            <w:vMerge w:val="continue"/>
            <w:tcBorders>
              <w:top w:val="nil"/>
              <w:left w:val="nil"/>
              <w:bottom w:val="single" w:color="000000" w:sz="4" w:space="0"/>
              <w:right w:val="single" w:color="000000" w:sz="4" w:space="0"/>
            </w:tcBorders>
            <w:vAlign w:val="center"/>
          </w:tcPr>
          <w:p>
            <w:pPr>
              <w:widowControl/>
              <w:jc w:val="left"/>
              <w:rPr>
                <w:rFonts w:ascii="宋体" w:hAnsi="宋体"/>
                <w:color w:val="000000"/>
                <w:sz w:val="18"/>
                <w:szCs w:val="18"/>
              </w:rPr>
            </w:pP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color w:val="000000"/>
                <w:sz w:val="18"/>
                <w:szCs w:val="18"/>
              </w:rPr>
              <w:t>患者疾病诊断准确率</w:t>
            </w: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color w:val="000000"/>
                <w:sz w:val="18"/>
                <w:szCs w:val="18"/>
              </w:rPr>
              <w:t>≥95%</w:t>
            </w:r>
          </w:p>
        </w:tc>
      </w:tr>
      <w:tr>
        <w:tblPrEx>
          <w:tblLayout w:type="fixed"/>
          <w:tblCellMar>
            <w:top w:w="0" w:type="dxa"/>
            <w:left w:w="0" w:type="dxa"/>
            <w:bottom w:w="0" w:type="dxa"/>
            <w:right w:w="0" w:type="dxa"/>
          </w:tblCellMar>
        </w:tblPrEx>
        <w:trPr>
          <w:trHeight w:val="440" w:hRule="atLeast"/>
        </w:trPr>
        <w:tc>
          <w:tcPr>
            <w:tcW w:w="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sz w:val="18"/>
                <w:szCs w:val="18"/>
              </w:rPr>
            </w:pPr>
          </w:p>
        </w:tc>
        <w:tc>
          <w:tcPr>
            <w:tcW w:w="1452" w:type="dxa"/>
            <w:vMerge w:val="restart"/>
            <w:tcBorders>
              <w:top w:val="nil"/>
              <w:left w:val="nil"/>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color w:val="000000"/>
                <w:sz w:val="18"/>
                <w:szCs w:val="18"/>
              </w:rPr>
            </w:pPr>
            <w:r>
              <w:rPr>
                <w:rFonts w:hint="eastAsia" w:ascii="宋体" w:hAnsi="宋体"/>
                <w:color w:val="000000"/>
                <w:kern w:val="0"/>
                <w:sz w:val="18"/>
                <w:szCs w:val="18"/>
              </w:rPr>
              <w:t>时效指标</w:t>
            </w: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kern w:val="0"/>
                <w:sz w:val="18"/>
                <w:szCs w:val="18"/>
              </w:rPr>
              <w:t>资金到位及时率</w:t>
            </w: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kern w:val="0"/>
                <w:sz w:val="18"/>
                <w:szCs w:val="18"/>
              </w:rPr>
              <w:t>＝100%</w:t>
            </w:r>
          </w:p>
        </w:tc>
      </w:tr>
      <w:tr>
        <w:tblPrEx>
          <w:tblLayout w:type="fixed"/>
          <w:tblCellMar>
            <w:top w:w="0" w:type="dxa"/>
            <w:left w:w="0" w:type="dxa"/>
            <w:bottom w:w="0" w:type="dxa"/>
            <w:right w:w="0" w:type="dxa"/>
          </w:tblCellMar>
        </w:tblPrEx>
        <w:trPr>
          <w:trHeight w:val="440" w:hRule="atLeast"/>
        </w:trPr>
        <w:tc>
          <w:tcPr>
            <w:tcW w:w="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sz w:val="18"/>
                <w:szCs w:val="18"/>
              </w:rPr>
            </w:pPr>
          </w:p>
        </w:tc>
        <w:tc>
          <w:tcPr>
            <w:tcW w:w="1452" w:type="dxa"/>
            <w:vMerge w:val="continue"/>
            <w:tcBorders>
              <w:top w:val="nil"/>
              <w:left w:val="nil"/>
              <w:bottom w:val="single" w:color="000000" w:sz="4" w:space="0"/>
              <w:right w:val="single" w:color="000000" w:sz="4" w:space="0"/>
            </w:tcBorders>
            <w:vAlign w:val="center"/>
          </w:tcPr>
          <w:p>
            <w:pPr>
              <w:widowControl/>
              <w:jc w:val="left"/>
              <w:rPr>
                <w:rFonts w:ascii="宋体" w:hAnsi="宋体"/>
                <w:color w:val="000000"/>
                <w:sz w:val="18"/>
                <w:szCs w:val="18"/>
              </w:rPr>
            </w:pP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p>
        </w:tc>
      </w:tr>
      <w:tr>
        <w:tblPrEx>
          <w:tblLayout w:type="fixed"/>
          <w:tblCellMar>
            <w:top w:w="0" w:type="dxa"/>
            <w:left w:w="0" w:type="dxa"/>
            <w:bottom w:w="0" w:type="dxa"/>
            <w:right w:w="0" w:type="dxa"/>
          </w:tblCellMar>
        </w:tblPrEx>
        <w:trPr>
          <w:trHeight w:val="440" w:hRule="atLeast"/>
        </w:trPr>
        <w:tc>
          <w:tcPr>
            <w:tcW w:w="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sz w:val="18"/>
                <w:szCs w:val="18"/>
              </w:rPr>
            </w:pPr>
          </w:p>
        </w:tc>
        <w:tc>
          <w:tcPr>
            <w:tcW w:w="1452" w:type="dxa"/>
            <w:vMerge w:val="restart"/>
            <w:tcBorders>
              <w:top w:val="nil"/>
              <w:left w:val="nil"/>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color w:val="000000"/>
                <w:sz w:val="18"/>
                <w:szCs w:val="18"/>
              </w:rPr>
            </w:pPr>
            <w:r>
              <w:rPr>
                <w:rFonts w:hint="eastAsia" w:ascii="宋体" w:hAnsi="宋体"/>
                <w:color w:val="000000"/>
                <w:kern w:val="0"/>
                <w:sz w:val="18"/>
                <w:szCs w:val="18"/>
              </w:rPr>
              <w:t>成本指标</w:t>
            </w: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kern w:val="0"/>
                <w:sz w:val="18"/>
                <w:szCs w:val="18"/>
              </w:rPr>
              <w:t>项目成本总额</w:t>
            </w: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kern w:val="0"/>
                <w:sz w:val="18"/>
                <w:szCs w:val="18"/>
              </w:rPr>
              <w:t>≤616万元</w:t>
            </w:r>
          </w:p>
        </w:tc>
      </w:tr>
      <w:tr>
        <w:tblPrEx>
          <w:tblLayout w:type="fixed"/>
          <w:tblCellMar>
            <w:top w:w="0" w:type="dxa"/>
            <w:left w:w="0" w:type="dxa"/>
            <w:bottom w:w="0" w:type="dxa"/>
            <w:right w:w="0" w:type="dxa"/>
          </w:tblCellMar>
        </w:tblPrEx>
        <w:trPr>
          <w:trHeight w:val="267" w:hRule="atLeast"/>
        </w:trPr>
        <w:tc>
          <w:tcPr>
            <w:tcW w:w="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sz w:val="18"/>
                <w:szCs w:val="18"/>
              </w:rPr>
            </w:pPr>
          </w:p>
        </w:tc>
        <w:tc>
          <w:tcPr>
            <w:tcW w:w="1452" w:type="dxa"/>
            <w:vMerge w:val="continue"/>
            <w:tcBorders>
              <w:top w:val="nil"/>
              <w:left w:val="nil"/>
              <w:bottom w:val="single" w:color="000000" w:sz="4" w:space="0"/>
              <w:right w:val="single" w:color="000000" w:sz="4" w:space="0"/>
            </w:tcBorders>
            <w:vAlign w:val="center"/>
          </w:tcPr>
          <w:p>
            <w:pPr>
              <w:widowControl/>
              <w:jc w:val="left"/>
              <w:rPr>
                <w:rFonts w:ascii="宋体" w:hAnsi="宋体"/>
                <w:color w:val="000000"/>
                <w:sz w:val="18"/>
                <w:szCs w:val="18"/>
              </w:rPr>
            </w:pP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p>
        </w:tc>
      </w:tr>
      <w:tr>
        <w:tblPrEx>
          <w:tblLayout w:type="fixed"/>
          <w:tblCellMar>
            <w:top w:w="0" w:type="dxa"/>
            <w:left w:w="0" w:type="dxa"/>
            <w:bottom w:w="0" w:type="dxa"/>
            <w:right w:w="0" w:type="dxa"/>
          </w:tblCellMar>
        </w:tblPrEx>
        <w:trPr>
          <w:trHeight w:val="440" w:hRule="atLeast"/>
        </w:trPr>
        <w:tc>
          <w:tcPr>
            <w:tcW w:w="960" w:type="dxa"/>
            <w:vMerge w:val="restart"/>
            <w:tcBorders>
              <w:top w:val="nil"/>
              <w:left w:val="single" w:color="000000" w:sz="4" w:space="0"/>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color w:val="000000"/>
                <w:sz w:val="18"/>
                <w:szCs w:val="18"/>
              </w:rPr>
            </w:pPr>
            <w:r>
              <w:rPr>
                <w:rFonts w:hint="eastAsia" w:ascii="宋体" w:hAnsi="宋体"/>
                <w:color w:val="000000"/>
                <w:kern w:val="0"/>
                <w:sz w:val="18"/>
                <w:szCs w:val="18"/>
              </w:rPr>
              <w:t>效益指标</w:t>
            </w:r>
          </w:p>
        </w:tc>
        <w:tc>
          <w:tcPr>
            <w:tcW w:w="1452" w:type="dxa"/>
            <w:vMerge w:val="restart"/>
            <w:tcBorders>
              <w:top w:val="nil"/>
              <w:left w:val="nil"/>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color w:val="000000"/>
                <w:sz w:val="18"/>
                <w:szCs w:val="18"/>
              </w:rPr>
            </w:pPr>
            <w:r>
              <w:rPr>
                <w:rFonts w:hint="eastAsia" w:ascii="宋体" w:hAnsi="宋体"/>
                <w:color w:val="000000"/>
                <w:kern w:val="0"/>
                <w:sz w:val="18"/>
                <w:szCs w:val="18"/>
              </w:rPr>
              <w:t>经济效益指标</w:t>
            </w: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p>
        </w:tc>
      </w:tr>
      <w:tr>
        <w:tblPrEx>
          <w:tblLayout w:type="fixed"/>
          <w:tblCellMar>
            <w:top w:w="0" w:type="dxa"/>
            <w:left w:w="0" w:type="dxa"/>
            <w:bottom w:w="0" w:type="dxa"/>
            <w:right w:w="0" w:type="dxa"/>
          </w:tblCellMar>
        </w:tblPrEx>
        <w:trPr>
          <w:trHeight w:val="222" w:hRule="atLeast"/>
        </w:trPr>
        <w:tc>
          <w:tcPr>
            <w:tcW w:w="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sz w:val="18"/>
                <w:szCs w:val="18"/>
              </w:rPr>
            </w:pPr>
          </w:p>
        </w:tc>
        <w:tc>
          <w:tcPr>
            <w:tcW w:w="1452" w:type="dxa"/>
            <w:vMerge w:val="continue"/>
            <w:tcBorders>
              <w:top w:val="nil"/>
              <w:left w:val="nil"/>
              <w:bottom w:val="single" w:color="000000" w:sz="4" w:space="0"/>
              <w:right w:val="single" w:color="000000" w:sz="4" w:space="0"/>
            </w:tcBorders>
            <w:vAlign w:val="center"/>
          </w:tcPr>
          <w:p>
            <w:pPr>
              <w:widowControl/>
              <w:jc w:val="left"/>
              <w:rPr>
                <w:rFonts w:ascii="宋体" w:hAnsi="宋体"/>
                <w:color w:val="000000"/>
                <w:sz w:val="18"/>
                <w:szCs w:val="18"/>
              </w:rPr>
            </w:pP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p>
        </w:tc>
      </w:tr>
      <w:tr>
        <w:tblPrEx>
          <w:tblLayout w:type="fixed"/>
          <w:tblCellMar>
            <w:top w:w="0" w:type="dxa"/>
            <w:left w:w="0" w:type="dxa"/>
            <w:bottom w:w="0" w:type="dxa"/>
            <w:right w:w="0" w:type="dxa"/>
          </w:tblCellMar>
        </w:tblPrEx>
        <w:trPr>
          <w:trHeight w:val="440" w:hRule="atLeast"/>
        </w:trPr>
        <w:tc>
          <w:tcPr>
            <w:tcW w:w="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sz w:val="18"/>
                <w:szCs w:val="18"/>
              </w:rPr>
            </w:pPr>
          </w:p>
        </w:tc>
        <w:tc>
          <w:tcPr>
            <w:tcW w:w="1452" w:type="dxa"/>
            <w:vMerge w:val="restart"/>
            <w:tcBorders>
              <w:top w:val="nil"/>
              <w:left w:val="nil"/>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color w:val="000000"/>
                <w:sz w:val="18"/>
                <w:szCs w:val="18"/>
              </w:rPr>
            </w:pPr>
            <w:r>
              <w:rPr>
                <w:rFonts w:hint="eastAsia" w:ascii="宋体" w:hAnsi="宋体"/>
                <w:color w:val="000000"/>
                <w:kern w:val="0"/>
                <w:sz w:val="18"/>
                <w:szCs w:val="18"/>
              </w:rPr>
              <w:t>社会效益指标</w:t>
            </w: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color w:val="000000"/>
                <w:sz w:val="18"/>
                <w:szCs w:val="18"/>
              </w:rPr>
              <w:t>减轻患者经济负担</w:t>
            </w: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color w:val="000000"/>
                <w:sz w:val="18"/>
                <w:szCs w:val="18"/>
              </w:rPr>
              <w:t>明显减轻</w:t>
            </w:r>
          </w:p>
        </w:tc>
      </w:tr>
      <w:tr>
        <w:tblPrEx>
          <w:tblLayout w:type="fixed"/>
          <w:tblCellMar>
            <w:top w:w="0" w:type="dxa"/>
            <w:left w:w="0" w:type="dxa"/>
            <w:bottom w:w="0" w:type="dxa"/>
            <w:right w:w="0" w:type="dxa"/>
          </w:tblCellMar>
        </w:tblPrEx>
        <w:trPr>
          <w:trHeight w:val="440" w:hRule="atLeast"/>
        </w:trPr>
        <w:tc>
          <w:tcPr>
            <w:tcW w:w="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sz w:val="18"/>
                <w:szCs w:val="18"/>
              </w:rPr>
            </w:pPr>
          </w:p>
        </w:tc>
        <w:tc>
          <w:tcPr>
            <w:tcW w:w="1452" w:type="dxa"/>
            <w:vMerge w:val="continue"/>
            <w:tcBorders>
              <w:top w:val="nil"/>
              <w:left w:val="nil"/>
              <w:bottom w:val="single" w:color="000000" w:sz="4" w:space="0"/>
              <w:right w:val="single" w:color="000000" w:sz="4" w:space="0"/>
            </w:tcBorders>
            <w:vAlign w:val="center"/>
          </w:tcPr>
          <w:p>
            <w:pPr>
              <w:widowControl/>
              <w:jc w:val="left"/>
              <w:rPr>
                <w:rFonts w:ascii="宋体" w:hAnsi="宋体"/>
                <w:color w:val="000000"/>
                <w:sz w:val="18"/>
                <w:szCs w:val="18"/>
              </w:rPr>
            </w:pP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color w:val="000000"/>
                <w:sz w:val="18"/>
                <w:szCs w:val="18"/>
              </w:rPr>
              <w:t>明显提高医院的医疗技术水平和服务能力</w:t>
            </w: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kern w:val="0"/>
                <w:sz w:val="18"/>
                <w:szCs w:val="18"/>
              </w:rPr>
              <w:t>明显提升</w:t>
            </w:r>
          </w:p>
        </w:tc>
      </w:tr>
      <w:tr>
        <w:tblPrEx>
          <w:tblLayout w:type="fixed"/>
          <w:tblCellMar>
            <w:top w:w="0" w:type="dxa"/>
            <w:left w:w="0" w:type="dxa"/>
            <w:bottom w:w="0" w:type="dxa"/>
            <w:right w:w="0" w:type="dxa"/>
          </w:tblCellMar>
        </w:tblPrEx>
        <w:trPr>
          <w:trHeight w:val="440" w:hRule="atLeast"/>
        </w:trPr>
        <w:tc>
          <w:tcPr>
            <w:tcW w:w="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sz w:val="18"/>
                <w:szCs w:val="18"/>
              </w:rPr>
            </w:pPr>
          </w:p>
        </w:tc>
        <w:tc>
          <w:tcPr>
            <w:tcW w:w="1452" w:type="dxa"/>
            <w:vMerge w:val="restart"/>
            <w:tcBorders>
              <w:top w:val="nil"/>
              <w:left w:val="nil"/>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color w:val="000000"/>
                <w:sz w:val="18"/>
                <w:szCs w:val="18"/>
              </w:rPr>
            </w:pPr>
            <w:r>
              <w:rPr>
                <w:rFonts w:hint="eastAsia" w:ascii="宋体" w:hAnsi="宋体"/>
                <w:color w:val="000000"/>
                <w:kern w:val="0"/>
                <w:sz w:val="18"/>
                <w:szCs w:val="18"/>
              </w:rPr>
              <w:t>生态效益指标</w:t>
            </w: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color w:val="000000"/>
                <w:sz w:val="18"/>
                <w:szCs w:val="18"/>
              </w:rPr>
              <w:t>健康人群感染率</w:t>
            </w: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color w:val="000000"/>
                <w:sz w:val="18"/>
                <w:szCs w:val="18"/>
              </w:rPr>
              <w:t>≤0</w:t>
            </w:r>
          </w:p>
        </w:tc>
      </w:tr>
      <w:tr>
        <w:tblPrEx>
          <w:tblLayout w:type="fixed"/>
          <w:tblCellMar>
            <w:top w:w="0" w:type="dxa"/>
            <w:left w:w="0" w:type="dxa"/>
            <w:bottom w:w="0" w:type="dxa"/>
            <w:right w:w="0" w:type="dxa"/>
          </w:tblCellMar>
        </w:tblPrEx>
        <w:trPr>
          <w:trHeight w:val="440" w:hRule="atLeast"/>
        </w:trPr>
        <w:tc>
          <w:tcPr>
            <w:tcW w:w="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sz w:val="18"/>
                <w:szCs w:val="18"/>
              </w:rPr>
            </w:pPr>
          </w:p>
        </w:tc>
        <w:tc>
          <w:tcPr>
            <w:tcW w:w="1452" w:type="dxa"/>
            <w:vMerge w:val="continue"/>
            <w:tcBorders>
              <w:top w:val="nil"/>
              <w:left w:val="nil"/>
              <w:bottom w:val="single" w:color="000000" w:sz="4" w:space="0"/>
              <w:right w:val="single" w:color="000000" w:sz="4" w:space="0"/>
            </w:tcBorders>
            <w:vAlign w:val="center"/>
          </w:tcPr>
          <w:p>
            <w:pPr>
              <w:widowControl/>
              <w:jc w:val="left"/>
              <w:rPr>
                <w:rFonts w:ascii="宋体" w:hAnsi="宋体"/>
                <w:color w:val="000000"/>
                <w:sz w:val="18"/>
                <w:szCs w:val="18"/>
              </w:rPr>
            </w:pP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p>
        </w:tc>
      </w:tr>
      <w:tr>
        <w:tblPrEx>
          <w:tblLayout w:type="fixed"/>
          <w:tblCellMar>
            <w:top w:w="0" w:type="dxa"/>
            <w:left w:w="0" w:type="dxa"/>
            <w:bottom w:w="0" w:type="dxa"/>
            <w:right w:w="0" w:type="dxa"/>
          </w:tblCellMar>
        </w:tblPrEx>
        <w:trPr>
          <w:trHeight w:val="312" w:hRule="atLeast"/>
        </w:trPr>
        <w:tc>
          <w:tcPr>
            <w:tcW w:w="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sz w:val="18"/>
                <w:szCs w:val="18"/>
              </w:rPr>
            </w:pPr>
          </w:p>
        </w:tc>
        <w:tc>
          <w:tcPr>
            <w:tcW w:w="1452" w:type="dxa"/>
            <w:vMerge w:val="restart"/>
            <w:tcBorders>
              <w:top w:val="nil"/>
              <w:left w:val="nil"/>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color w:val="000000"/>
                <w:sz w:val="18"/>
                <w:szCs w:val="18"/>
              </w:rPr>
            </w:pPr>
            <w:r>
              <w:rPr>
                <w:rFonts w:hint="eastAsia" w:ascii="宋体" w:hAnsi="宋体"/>
                <w:color w:val="000000"/>
                <w:kern w:val="0"/>
                <w:sz w:val="18"/>
                <w:szCs w:val="18"/>
              </w:rPr>
              <w:t>可持续影响指标</w:t>
            </w: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color w:val="000000"/>
                <w:sz w:val="18"/>
                <w:szCs w:val="18"/>
              </w:rPr>
              <w:t>工程设计使用年限</w:t>
            </w: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kern w:val="0"/>
                <w:sz w:val="18"/>
                <w:szCs w:val="18"/>
              </w:rPr>
              <w:t>≥8年</w:t>
            </w:r>
          </w:p>
        </w:tc>
      </w:tr>
      <w:tr>
        <w:tblPrEx>
          <w:tblLayout w:type="fixed"/>
          <w:tblCellMar>
            <w:top w:w="0" w:type="dxa"/>
            <w:left w:w="0" w:type="dxa"/>
            <w:bottom w:w="0" w:type="dxa"/>
            <w:right w:w="0" w:type="dxa"/>
          </w:tblCellMar>
        </w:tblPrEx>
        <w:trPr>
          <w:trHeight w:val="327" w:hRule="atLeast"/>
        </w:trPr>
        <w:tc>
          <w:tcPr>
            <w:tcW w:w="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olor w:val="000000"/>
                <w:sz w:val="18"/>
                <w:szCs w:val="18"/>
              </w:rPr>
            </w:pPr>
          </w:p>
        </w:tc>
        <w:tc>
          <w:tcPr>
            <w:tcW w:w="1452" w:type="dxa"/>
            <w:vMerge w:val="continue"/>
            <w:tcBorders>
              <w:top w:val="nil"/>
              <w:left w:val="nil"/>
              <w:bottom w:val="single" w:color="000000" w:sz="4" w:space="0"/>
              <w:right w:val="single" w:color="000000" w:sz="4" w:space="0"/>
            </w:tcBorders>
            <w:vAlign w:val="center"/>
          </w:tcPr>
          <w:p>
            <w:pPr>
              <w:widowControl/>
              <w:jc w:val="left"/>
              <w:rPr>
                <w:rFonts w:ascii="宋体" w:hAnsi="宋体"/>
                <w:color w:val="000000"/>
                <w:sz w:val="18"/>
                <w:szCs w:val="18"/>
              </w:rPr>
            </w:pP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p>
        </w:tc>
      </w:tr>
      <w:tr>
        <w:tblPrEx>
          <w:tblLayout w:type="fixed"/>
          <w:tblCellMar>
            <w:top w:w="0" w:type="dxa"/>
            <w:left w:w="0" w:type="dxa"/>
            <w:bottom w:w="0" w:type="dxa"/>
            <w:right w:w="0" w:type="dxa"/>
          </w:tblCellMar>
        </w:tblPrEx>
        <w:trPr>
          <w:trHeight w:val="440" w:hRule="atLeast"/>
        </w:trPr>
        <w:tc>
          <w:tcPr>
            <w:tcW w:w="960" w:type="dxa"/>
            <w:tcBorders>
              <w:top w:val="nil"/>
              <w:left w:val="single" w:color="000000" w:sz="4" w:space="0"/>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color w:val="000000"/>
                <w:sz w:val="18"/>
                <w:szCs w:val="18"/>
              </w:rPr>
            </w:pPr>
            <w:r>
              <w:rPr>
                <w:rFonts w:hint="eastAsia" w:ascii="宋体" w:hAnsi="宋体"/>
                <w:color w:val="000000"/>
                <w:kern w:val="0"/>
                <w:sz w:val="18"/>
                <w:szCs w:val="18"/>
              </w:rPr>
              <w:t>满意度指标</w:t>
            </w:r>
          </w:p>
        </w:tc>
        <w:tc>
          <w:tcPr>
            <w:tcW w:w="1452" w:type="dxa"/>
            <w:tcBorders>
              <w:top w:val="nil"/>
              <w:left w:val="nil"/>
              <w:bottom w:val="single" w:color="000000" w:sz="4" w:space="0"/>
              <w:right w:val="single" w:color="000000" w:sz="4" w:space="0"/>
            </w:tcBorders>
            <w:tcMar>
              <w:top w:w="12" w:type="dxa"/>
              <w:left w:w="12" w:type="dxa"/>
              <w:bottom w:w="0" w:type="dxa"/>
              <w:right w:w="12" w:type="dxa"/>
            </w:tcMar>
            <w:vAlign w:val="center"/>
          </w:tcPr>
          <w:p>
            <w:pPr>
              <w:widowControl/>
              <w:spacing w:line="480" w:lineRule="exact"/>
              <w:jc w:val="center"/>
              <w:textAlignment w:val="center"/>
              <w:rPr>
                <w:rFonts w:ascii="宋体" w:hAnsi="宋体"/>
                <w:color w:val="000000"/>
                <w:sz w:val="18"/>
                <w:szCs w:val="18"/>
              </w:rPr>
            </w:pPr>
            <w:r>
              <w:rPr>
                <w:rFonts w:hint="eastAsia" w:ascii="宋体" w:hAnsi="宋体"/>
                <w:color w:val="000000"/>
                <w:kern w:val="0"/>
                <w:sz w:val="18"/>
                <w:szCs w:val="18"/>
              </w:rPr>
              <w:t>满意度指标</w:t>
            </w:r>
          </w:p>
        </w:tc>
        <w:tc>
          <w:tcPr>
            <w:tcW w:w="3739" w:type="dxa"/>
            <w:gridSpan w:val="3"/>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kern w:val="0"/>
                <w:sz w:val="18"/>
                <w:szCs w:val="18"/>
              </w:rPr>
              <w:t>受益群众满意度</w:t>
            </w:r>
          </w:p>
        </w:tc>
        <w:tc>
          <w:tcPr>
            <w:tcW w:w="2664" w:type="dxa"/>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pPr>
              <w:spacing w:line="480" w:lineRule="exact"/>
              <w:jc w:val="center"/>
              <w:rPr>
                <w:rFonts w:ascii="宋体" w:hAnsi="宋体"/>
                <w:color w:val="000000"/>
                <w:sz w:val="18"/>
                <w:szCs w:val="18"/>
              </w:rPr>
            </w:pPr>
            <w:r>
              <w:rPr>
                <w:rFonts w:hint="eastAsia" w:ascii="宋体" w:hAnsi="宋体"/>
                <w:kern w:val="0"/>
                <w:sz w:val="18"/>
                <w:szCs w:val="18"/>
              </w:rPr>
              <w:t>≥95%</w:t>
            </w:r>
          </w:p>
        </w:tc>
      </w:tr>
    </w:tbl>
    <w:p>
      <w:pPr>
        <w:widowControl/>
        <w:jc w:val="left"/>
        <w:rPr>
          <w:rFonts w:ascii="楷体_GB2312" w:hAnsi="宋体"/>
          <w:b/>
          <w:bCs/>
          <w:kern w:val="0"/>
          <w:sz w:val="32"/>
          <w:szCs w:val="32"/>
        </w:rPr>
        <w:sectPr>
          <w:pgSz w:w="11906" w:h="16838"/>
          <w:pgMar w:top="1440" w:right="1800" w:bottom="1440" w:left="1800" w:header="720" w:footer="720" w:gutter="0"/>
          <w:cols w:space="720" w:num="1"/>
          <w:docGrid w:type="lines" w:linePitch="312" w:charSpace="0"/>
        </w:sectPr>
      </w:pPr>
    </w:p>
    <w:p>
      <w:pPr>
        <w:widowControl/>
        <w:spacing w:line="480" w:lineRule="exact"/>
        <w:ind w:firstLine="630" w:firstLineChars="196"/>
        <w:jc w:val="left"/>
        <w:rPr>
          <w:rFonts w:ascii="楷体_GB2312" w:hAnsi="宋体"/>
          <w:b/>
          <w:bCs/>
          <w:kern w:val="0"/>
          <w:sz w:val="32"/>
          <w:szCs w:val="32"/>
        </w:rPr>
      </w:pPr>
      <w:r>
        <w:rPr>
          <w:rFonts w:ascii="楷体_GB2312" w:hAnsi="楷体_GB2312"/>
          <w:b/>
          <w:bCs/>
          <w:kern w:val="0"/>
          <w:sz w:val="32"/>
          <w:szCs w:val="32"/>
        </w:rPr>
        <w:t>（五）其他需说明的事项</w:t>
      </w:r>
    </w:p>
    <w:p>
      <w:pPr>
        <w:spacing w:line="560" w:lineRule="exact"/>
        <w:ind w:firstLine="640" w:firstLineChars="200"/>
        <w:rPr>
          <w:rFonts w:ascii="仿宋_GB2312" w:hAnsi="黑体" w:eastAsia="仿宋_GB2312"/>
          <w:bCs/>
          <w:kern w:val="0"/>
          <w:sz w:val="32"/>
          <w:szCs w:val="32"/>
        </w:rPr>
      </w:pPr>
      <w:r>
        <w:rPr>
          <w:rFonts w:hint="eastAsia" w:ascii="仿宋_GB2312" w:hAnsi="黑体" w:eastAsia="仿宋_GB2312"/>
          <w:bCs/>
          <w:kern w:val="0"/>
          <w:sz w:val="32"/>
          <w:szCs w:val="32"/>
        </w:rPr>
        <w:t>伊州区人民医院无其他需要说明事项</w:t>
      </w:r>
    </w:p>
    <w:p>
      <w:pPr>
        <w:widowControl/>
        <w:spacing w:line="520" w:lineRule="exact"/>
        <w:jc w:val="left"/>
        <w:rPr>
          <w:rFonts w:ascii="仿宋_GB2312" w:hAnsi="宋体"/>
          <w:kern w:val="0"/>
          <w:sz w:val="32"/>
          <w:szCs w:val="32"/>
        </w:rPr>
      </w:pPr>
      <w:r>
        <w:rPr>
          <w:rFonts w:ascii="仿宋_GB2312" w:hAnsi="宋体"/>
          <w:kern w:val="0"/>
          <w:sz w:val="32"/>
          <w:szCs w:val="32"/>
        </w:rPr>
        <w:t xml:space="preserve"> </w:t>
      </w:r>
    </w:p>
    <w:p>
      <w:pPr>
        <w:widowControl/>
        <w:spacing w:before="180" w:beforeLines="50" w:line="520" w:lineRule="exact"/>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pPr>
        <w:widowControl/>
        <w:spacing w:before="180" w:beforeLines="50" w:line="520" w:lineRule="exact"/>
        <w:jc w:val="center"/>
        <w:outlineLvl w:val="1"/>
        <w:rPr>
          <w:rFonts w:ascii="黑体" w:hAnsi="黑体" w:eastAsia="黑体"/>
          <w:kern w:val="0"/>
          <w:sz w:val="32"/>
          <w:szCs w:val="32"/>
        </w:rPr>
      </w:pPr>
    </w:p>
    <w:p>
      <w:pPr>
        <w:widowControl/>
        <w:spacing w:line="520" w:lineRule="exact"/>
        <w:ind w:firstLine="640"/>
        <w:jc w:val="left"/>
        <w:rPr>
          <w:rFonts w:ascii="黑体" w:hAnsi="宋体" w:eastAsia="黑体"/>
          <w:kern w:val="0"/>
          <w:sz w:val="32"/>
          <w:szCs w:val="32"/>
        </w:rPr>
      </w:pPr>
      <w:r>
        <w:rPr>
          <w:rFonts w:hint="eastAsia" w:ascii="黑体" w:hAnsi="黑体" w:eastAsia="黑体"/>
          <w:kern w:val="0"/>
          <w:sz w:val="32"/>
          <w:szCs w:val="32"/>
        </w:rPr>
        <w:t>名词解释：</w:t>
      </w:r>
    </w:p>
    <w:p>
      <w:pPr>
        <w:spacing w:line="520" w:lineRule="exact"/>
        <w:ind w:firstLine="642"/>
        <w:rPr>
          <w:rFonts w:ascii="仿宋_GB2312" w:hAnsi="黑体" w:eastAsia="仿宋_GB2312"/>
          <w:bCs/>
          <w:kern w:val="0"/>
          <w:sz w:val="32"/>
          <w:szCs w:val="32"/>
        </w:rPr>
      </w:pPr>
      <w:r>
        <w:rPr>
          <w:rFonts w:hint="eastAsia" w:ascii="黑体" w:hAnsi="黑体" w:eastAsia="黑体"/>
          <w:sz w:val="32"/>
          <w:szCs w:val="32"/>
        </w:rPr>
        <w:t>一、财政拨款：</w:t>
      </w:r>
      <w:r>
        <w:rPr>
          <w:rFonts w:hint="eastAsia" w:ascii="仿宋_GB2312" w:eastAsia="仿宋_GB2312"/>
          <w:sz w:val="32"/>
          <w:szCs w:val="32"/>
        </w:rPr>
        <w:t>指由一般公共预算、政府性基金预算、国有资本经营预算安排的财政拨款数</w:t>
      </w:r>
      <w:r>
        <w:rPr>
          <w:rFonts w:hint="eastAsia" w:ascii="仿宋_GB2312" w:hAnsi="黑体" w:eastAsia="仿宋_GB2312"/>
          <w:bCs/>
          <w:kern w:val="0"/>
          <w:sz w:val="32"/>
          <w:szCs w:val="32"/>
        </w:rPr>
        <w:t>。</w:t>
      </w:r>
    </w:p>
    <w:p>
      <w:pPr>
        <w:spacing w:line="520" w:lineRule="exact"/>
        <w:ind w:firstLine="642"/>
        <w:rPr>
          <w:rFonts w:ascii="仿宋_GB2312" w:hAnsi="黑体" w:eastAsia="仿宋_GB2312"/>
          <w:bCs/>
          <w:kern w:val="0"/>
          <w:sz w:val="32"/>
          <w:szCs w:val="32"/>
        </w:rPr>
      </w:pPr>
      <w:r>
        <w:rPr>
          <w:rFonts w:hint="eastAsia" w:ascii="黑体" w:hAnsi="黑体" w:eastAsia="黑体"/>
          <w:sz w:val="32"/>
          <w:szCs w:val="32"/>
        </w:rPr>
        <w:t>二、一般公共预算：</w:t>
      </w:r>
      <w:r>
        <w:rPr>
          <w:rFonts w:hint="eastAsia" w:ascii="仿宋_GB2312" w:hAnsi="黑体" w:eastAsia="仿宋_GB2312"/>
          <w:bCs/>
          <w:kern w:val="0"/>
          <w:sz w:val="32"/>
          <w:szCs w:val="32"/>
        </w:rPr>
        <w:t>包括公共财政拨款（补助）资金、专项收入。</w:t>
      </w:r>
    </w:p>
    <w:p>
      <w:pPr>
        <w:spacing w:line="520" w:lineRule="exact"/>
        <w:ind w:firstLine="642"/>
        <w:rPr>
          <w:rFonts w:ascii="仿宋_GB2312" w:hAnsi="黑体" w:eastAsia="仿宋_GB2312"/>
          <w:bCs/>
          <w:kern w:val="0"/>
          <w:sz w:val="32"/>
          <w:szCs w:val="32"/>
        </w:rPr>
      </w:pPr>
      <w:r>
        <w:rPr>
          <w:rFonts w:hint="eastAsia" w:ascii="黑体" w:hAnsi="黑体" w:eastAsia="黑体"/>
          <w:sz w:val="32"/>
          <w:szCs w:val="32"/>
        </w:rPr>
        <w:t>三、基本支出：</w:t>
      </w:r>
      <w:r>
        <w:rPr>
          <w:rFonts w:hint="eastAsia" w:ascii="仿宋_GB2312" w:hAnsi="黑体" w:eastAsia="仿宋_GB2312"/>
          <w:bCs/>
          <w:kern w:val="0"/>
          <w:sz w:val="32"/>
          <w:szCs w:val="32"/>
        </w:rPr>
        <w:t>包括人员经费、商品和服务支出（定额）。其中，人员经费包括工资福利支出、对个人和家庭的补助。</w:t>
      </w:r>
    </w:p>
    <w:p>
      <w:pPr>
        <w:spacing w:line="520" w:lineRule="exact"/>
        <w:ind w:firstLine="642"/>
        <w:rPr>
          <w:rFonts w:ascii="仿宋_GB2312" w:hAnsi="黑体" w:eastAsia="仿宋_GB2312"/>
          <w:bCs/>
          <w:kern w:val="0"/>
          <w:sz w:val="32"/>
          <w:szCs w:val="32"/>
        </w:rPr>
      </w:pPr>
      <w:r>
        <w:rPr>
          <w:rFonts w:hint="eastAsia" w:ascii="黑体" w:hAnsi="黑体" w:eastAsia="黑体"/>
          <w:sz w:val="32"/>
          <w:szCs w:val="32"/>
        </w:rPr>
        <w:t>四、项目支出：</w:t>
      </w:r>
      <w:r>
        <w:rPr>
          <w:rFonts w:hint="eastAsia" w:ascii="仿宋_GB2312" w:hAnsi="黑体" w:eastAsia="仿宋_GB2312"/>
          <w:bCs/>
          <w:kern w:val="0"/>
          <w:sz w:val="32"/>
          <w:szCs w:val="32"/>
        </w:rPr>
        <w:t>部门支出预算的组成部分，是伊州区部门为完成其特定的行政任务或事业发展目标，在基本支出预算之外编制的年度项目支出计划。</w:t>
      </w:r>
    </w:p>
    <w:p>
      <w:pPr>
        <w:spacing w:line="520" w:lineRule="exact"/>
        <w:ind w:firstLine="642"/>
        <w:rPr>
          <w:rFonts w:ascii="仿宋_GB2312" w:hAnsi="黑体" w:eastAsia="仿宋_GB2312"/>
          <w:bCs/>
          <w:kern w:val="0"/>
          <w:sz w:val="32"/>
          <w:szCs w:val="32"/>
        </w:rPr>
      </w:pPr>
    </w:p>
    <w:p>
      <w:pPr>
        <w:spacing w:line="520" w:lineRule="exact"/>
        <w:ind w:firstLine="642"/>
        <w:rPr>
          <w:rFonts w:ascii="仿宋_GB2312" w:hAnsi="黑体" w:eastAsia="仿宋_GB2312"/>
          <w:bCs/>
          <w:kern w:val="0"/>
          <w:sz w:val="32"/>
          <w:szCs w:val="32"/>
        </w:rPr>
      </w:pPr>
    </w:p>
    <w:p>
      <w:pPr>
        <w:spacing w:line="520" w:lineRule="exact"/>
        <w:ind w:firstLine="642"/>
        <w:rPr>
          <w:rFonts w:ascii="仿宋_GB2312" w:hAnsi="黑体" w:eastAsia="仿宋_GB2312"/>
          <w:bCs/>
          <w:kern w:val="0"/>
          <w:sz w:val="32"/>
          <w:szCs w:val="32"/>
        </w:rPr>
      </w:pPr>
    </w:p>
    <w:p>
      <w:pPr>
        <w:widowControl/>
        <w:spacing w:line="520" w:lineRule="exact"/>
        <w:jc w:val="left"/>
        <w:rPr>
          <w:rFonts w:ascii="仿宋_GB2312" w:hAnsi="宋体"/>
          <w:kern w:val="0"/>
          <w:sz w:val="32"/>
          <w:szCs w:val="32"/>
        </w:rPr>
      </w:pPr>
    </w:p>
    <w:p>
      <w:pPr>
        <w:widowControl/>
        <w:spacing w:line="520" w:lineRule="exact"/>
        <w:jc w:val="right"/>
        <w:rPr>
          <w:rFonts w:ascii="仿宋_GB2312" w:hAnsi="黑体" w:eastAsia="仿宋_GB2312"/>
          <w:bCs/>
          <w:kern w:val="0"/>
          <w:sz w:val="32"/>
          <w:szCs w:val="32"/>
        </w:rPr>
      </w:pPr>
      <w:r>
        <w:rPr>
          <w:rFonts w:hint="eastAsia" w:ascii="仿宋_GB2312" w:hAnsi="黑体" w:eastAsia="仿宋_GB2312"/>
          <w:bCs/>
          <w:kern w:val="0"/>
          <w:sz w:val="32"/>
          <w:szCs w:val="32"/>
        </w:rPr>
        <w:t>伊州区人民医院部门</w:t>
      </w:r>
    </w:p>
    <w:p>
      <w:pPr>
        <w:spacing w:line="560" w:lineRule="exact"/>
        <w:jc w:val="right"/>
        <w:rPr>
          <w:rFonts w:ascii="仿宋_GB2312" w:hAnsi="黑体" w:eastAsia="仿宋_GB2312"/>
          <w:bCs/>
          <w:kern w:val="0"/>
          <w:sz w:val="32"/>
          <w:szCs w:val="32"/>
        </w:rPr>
      </w:pPr>
      <w:r>
        <w:rPr>
          <w:rFonts w:hint="eastAsia" w:ascii="仿宋_GB2312" w:hAnsi="黑体" w:eastAsia="仿宋_GB2312"/>
          <w:bCs/>
          <w:kern w:val="0"/>
          <w:sz w:val="32"/>
          <w:szCs w:val="32"/>
        </w:rPr>
        <w:t>2021年2月8日</w:t>
      </w:r>
    </w:p>
    <w:p>
      <w:r>
        <w:t xml:space="preserve"> </w:t>
      </w:r>
    </w:p>
    <w:p>
      <w:r>
        <w:t xml:space="preserve"> </w:t>
      </w:r>
    </w:p>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NDhjYjU1ZDRiZjdkODc4YTYwNDA5YTJjYzE0ZWEifQ=="/>
  </w:docVars>
  <w:rsids>
    <w:rsidRoot w:val="00FF2B3A"/>
    <w:rsid w:val="000229A9"/>
    <w:rsid w:val="000C2B58"/>
    <w:rsid w:val="00153489"/>
    <w:rsid w:val="001A6535"/>
    <w:rsid w:val="0024252F"/>
    <w:rsid w:val="002B5393"/>
    <w:rsid w:val="00323B43"/>
    <w:rsid w:val="0038447B"/>
    <w:rsid w:val="003D37D8"/>
    <w:rsid w:val="004358AB"/>
    <w:rsid w:val="00515FB0"/>
    <w:rsid w:val="006B50E8"/>
    <w:rsid w:val="00717390"/>
    <w:rsid w:val="008B7726"/>
    <w:rsid w:val="00964EC8"/>
    <w:rsid w:val="00A9593F"/>
    <w:rsid w:val="00BB5890"/>
    <w:rsid w:val="00C01CAC"/>
    <w:rsid w:val="00DF3AA4"/>
    <w:rsid w:val="00F336AA"/>
    <w:rsid w:val="00F64132"/>
    <w:rsid w:val="00F80AD9"/>
    <w:rsid w:val="00FD604C"/>
    <w:rsid w:val="00FF2B3A"/>
    <w:rsid w:val="03FB731F"/>
    <w:rsid w:val="04475006"/>
    <w:rsid w:val="07A21C47"/>
    <w:rsid w:val="08F825CC"/>
    <w:rsid w:val="11163237"/>
    <w:rsid w:val="1D661642"/>
    <w:rsid w:val="1F2B5914"/>
    <w:rsid w:val="1F74676B"/>
    <w:rsid w:val="20410ABD"/>
    <w:rsid w:val="24990D82"/>
    <w:rsid w:val="27BD76DD"/>
    <w:rsid w:val="27FE3591"/>
    <w:rsid w:val="283107A8"/>
    <w:rsid w:val="28EF36AA"/>
    <w:rsid w:val="305A18D8"/>
    <w:rsid w:val="31CA7998"/>
    <w:rsid w:val="422F4249"/>
    <w:rsid w:val="46531F19"/>
    <w:rsid w:val="4CB9198C"/>
    <w:rsid w:val="4EF363DB"/>
    <w:rsid w:val="610E2B61"/>
    <w:rsid w:val="64334DA1"/>
    <w:rsid w:val="68641339"/>
    <w:rsid w:val="6E7A24B8"/>
    <w:rsid w:val="6F4A2A70"/>
    <w:rsid w:val="7855100B"/>
    <w:rsid w:val="78C13C57"/>
    <w:rsid w:val="7B786436"/>
    <w:rsid w:val="7D342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6"/>
    <w:unhideWhenUsed/>
    <w:qFormat/>
    <w:uiPriority w:val="99"/>
    <w:pPr>
      <w:snapToGrid w:val="0"/>
      <w:jc w:val="left"/>
    </w:pPr>
    <w:rPr>
      <w:rFonts w:eastAsia="黑体"/>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qFormat/>
    <w:uiPriority w:val="99"/>
    <w:rPr>
      <w:rFonts w:ascii="Calibri" w:hAnsi="Calibri" w:eastAsia="黑体" w:cs="宋体"/>
      <w:sz w:val="18"/>
      <w:szCs w:val="18"/>
    </w:rPr>
  </w:style>
  <w:style w:type="character" w:customStyle="1" w:styleId="7">
    <w:name w:val="页眉 字符"/>
    <w:basedOn w:val="5"/>
    <w:link w:val="3"/>
    <w:qFormat/>
    <w:uiPriority w:val="99"/>
    <w:rPr>
      <w:rFonts w:cs="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1594</Words>
  <Characters>9091</Characters>
  <Lines>75</Lines>
  <Paragraphs>21</Paragraphs>
  <TotalTime>28</TotalTime>
  <ScaleCrop>false</ScaleCrop>
  <LinksUpToDate>false</LinksUpToDate>
  <CharactersWithSpaces>10664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2021-02-06T01:44:00Z</dcterms:created>
  <dc:creator>XTZJ</dc:creator>
  <cp:lastModifiedBy>YuSuan</cp:lastModifiedBy>
  <dcterms:modified xsi:type="dcterms:W3CDTF">2025-02-11T02:07:06Z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0606900575394122BAD415BFB85262C8_13</vt:lpwstr>
  </property>
</Properties>
</file>