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b/>
          <w:bCs/>
          <w:kern w:val="0"/>
          <w:sz w:val="44"/>
          <w:szCs w:val="44"/>
        </w:rPr>
      </w:pPr>
      <w:r>
        <w:rPr>
          <w:rFonts w:hint="eastAsia" w:ascii="黑体" w:hAnsi="黑体" w:eastAsia="黑体"/>
          <w:sz w:val="32"/>
          <w:szCs w:val="32"/>
        </w:rPr>
        <w:t>附件：</w:t>
      </w:r>
    </w:p>
    <w:p>
      <w:pPr>
        <w:rPr>
          <w:rFonts w:ascii="宋体" w:hAnsi="宋体" w:cs="宋体"/>
          <w:b/>
          <w:bCs/>
          <w:kern w:val="0"/>
          <w:sz w:val="44"/>
          <w:szCs w:val="44"/>
        </w:rPr>
      </w:pPr>
    </w:p>
    <w:p>
      <w:pPr>
        <w:rPr>
          <w:rFonts w:ascii="宋体" w:hAnsi="宋体" w:cs="宋体"/>
          <w:b/>
          <w:bCs/>
          <w:kern w:val="0"/>
          <w:sz w:val="44"/>
          <w:szCs w:val="44"/>
        </w:rPr>
      </w:pPr>
    </w:p>
    <w:p>
      <w:pPr>
        <w:rPr>
          <w:rFonts w:ascii="黑体" w:hAnsi="黑体" w:eastAsia="黑体"/>
          <w:sz w:val="32"/>
          <w:szCs w:val="32"/>
        </w:rPr>
      </w:pPr>
    </w:p>
    <w:p>
      <w:pPr>
        <w:rPr>
          <w:rFonts w:ascii="黑体" w:hAnsi="黑体" w:eastAsia="黑体"/>
          <w:sz w:val="32"/>
          <w:szCs w:val="32"/>
        </w:rPr>
      </w:pPr>
    </w:p>
    <w:p>
      <w:pPr>
        <w:rPr>
          <w:rFonts w:ascii="宋体" w:hAnsi="宋体" w:cs="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中共哈密市伊州区委员会机构编制委员会办公室2021年预算公开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rPr>
          <w:b/>
          <w:bCs/>
        </w:rPr>
      </w:pPr>
    </w:p>
    <w:p/>
    <w:p/>
    <w:p/>
    <w:p/>
    <w:p/>
    <w:p/>
    <w:p/>
    <w:p/>
    <w:p/>
    <w:p/>
    <w:p/>
    <w:p/>
    <w:p/>
    <w:p/>
    <w:p/>
    <w:p/>
    <w:p/>
    <w:p/>
    <w:p/>
    <w:p/>
    <w:p/>
    <w:p/>
    <w:p>
      <w:pPr>
        <w:widowControl/>
        <w:spacing w:line="440" w:lineRule="exact"/>
        <w:jc w:val="center"/>
        <w:outlineLvl w:val="1"/>
        <w:rPr>
          <w:rFonts w:ascii="黑体" w:hAnsi="黑体" w:eastAsia="黑体"/>
          <w:kern w:val="0"/>
          <w:sz w:val="36"/>
          <w:szCs w:val="32"/>
        </w:rPr>
      </w:pPr>
      <w:r>
        <w:rPr>
          <w:rFonts w:hint="eastAsia" w:ascii="黑体" w:hAnsi="黑体" w:eastAsia="黑体"/>
          <w:kern w:val="0"/>
          <w:sz w:val="36"/>
          <w:szCs w:val="32"/>
        </w:rPr>
        <w:t>目 录</w:t>
      </w:r>
    </w:p>
    <w:p>
      <w:pPr>
        <w:widowControl/>
        <w:spacing w:line="440" w:lineRule="exact"/>
        <w:ind w:firstLine="883" w:firstLineChars="200"/>
        <w:outlineLvl w:val="1"/>
        <w:rPr>
          <w:rFonts w:ascii="宋体" w:hAnsi="宋体"/>
          <w:b/>
          <w:kern w:val="0"/>
          <w:sz w:val="44"/>
          <w:szCs w:val="44"/>
        </w:rPr>
      </w:pP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中共哈密市伊州区委员会机构编制委员会办公室概况</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2021年部门预算公开表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七、一般公共预算</w:t>
      </w:r>
      <w:r>
        <w:rPr>
          <w:rFonts w:hint="eastAsia" w:ascii="仿宋_GB2312" w:hAnsi="宋体" w:eastAsia="仿宋_GB2312"/>
          <w:bCs/>
          <w:kern w:val="0"/>
          <w:sz w:val="32"/>
          <w:szCs w:val="32"/>
        </w:rPr>
        <w:t>项目支出情况表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2021年部门预算情况说明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一、关于中共哈密市伊州区委员会机构编制委员会办公室2021年收支预算情况的总体说明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二、关于中共哈密市伊州区委员会机构编制委员会办公室2021年收入预算情况说明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三、关于中共哈密市伊州区委员会机构编制委员会办公室2021年支出预算情况说明</w:t>
      </w:r>
    </w:p>
    <w:p>
      <w:pPr>
        <w:widowControl/>
        <w:spacing w:line="44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四、关于中共哈密市伊州区委员会机构编制委员会办公室</w:t>
      </w:r>
      <w:r>
        <w:rPr>
          <w:rFonts w:hint="eastAsia" w:ascii="仿宋_GB2312" w:hAnsi="宋体" w:eastAsia="仿宋_GB2312"/>
          <w:kern w:val="0"/>
          <w:sz w:val="32"/>
          <w:szCs w:val="32"/>
        </w:rPr>
        <w:t>2021</w:t>
      </w:r>
      <w:r>
        <w:rPr>
          <w:rFonts w:hint="eastAsia" w:ascii="仿宋_GB2312" w:hAnsi="宋体" w:eastAsia="仿宋_GB2312"/>
          <w:bCs/>
          <w:kern w:val="0"/>
          <w:sz w:val="32"/>
          <w:szCs w:val="32"/>
        </w:rPr>
        <w:t>年财政拨款收支预算情况的总体说明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五、关于中共哈密市伊州区委员会机构编制委员会办公室2021年一般公共预算当年拨款情况说明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六、关于中共哈密市伊州区委员会机构编制委员会办公室2021年一般公共预算基本支出情况说明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七、关于中共哈密市伊州区委员会机构编制委员会办公室2021年一般公共预算项目支出情况说明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八、关于中共哈密市伊州区委员会机构编制委员会办公室2021年一般公共预算“三公”经费预算情况说明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九、关于中共哈密市伊州区委员会机构编制委员会办公室2021年政府性基金预算拨款情况说明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left"/>
        <w:rPr>
          <w:rFonts w:ascii="黑体" w:hAnsi="黑体" w:eastAsia="黑体"/>
          <w:kern w:val="0"/>
          <w:sz w:val="32"/>
          <w:szCs w:val="32"/>
        </w:rPr>
      </w:pPr>
      <w:r>
        <w:rPr>
          <w:rFonts w:ascii="黑体" w:hAnsi="黑体" w:eastAsia="黑体"/>
          <w:kern w:val="0"/>
          <w:sz w:val="32"/>
          <w:szCs w:val="32"/>
        </w:rPr>
        <w:br w:type="page"/>
      </w:r>
    </w:p>
    <w:p>
      <w:pPr>
        <w:widowControl/>
        <w:spacing w:line="440" w:lineRule="exact"/>
        <w:ind w:firstLine="640" w:firstLineChars="200"/>
        <w:jc w:val="center"/>
        <w:outlineLvl w:val="1"/>
        <w:rPr>
          <w:rFonts w:ascii="黑体" w:hAnsi="黑体" w:eastAsia="黑体"/>
          <w:kern w:val="0"/>
          <w:sz w:val="32"/>
          <w:szCs w:val="32"/>
        </w:rPr>
      </w:pPr>
    </w:p>
    <w:p>
      <w:pPr>
        <w:widowControl/>
        <w:spacing w:line="440" w:lineRule="exact"/>
        <w:ind w:firstLine="640" w:firstLineChars="200"/>
        <w:jc w:val="center"/>
        <w:outlineLvl w:val="1"/>
        <w:rPr>
          <w:rFonts w:ascii="黑体" w:hAnsi="黑体" w:eastAsia="黑体"/>
          <w:kern w:val="0"/>
          <w:sz w:val="32"/>
          <w:szCs w:val="32"/>
        </w:rPr>
      </w:pPr>
      <w:r>
        <w:rPr>
          <w:rFonts w:hint="eastAsia" w:ascii="黑体" w:hAnsi="黑体" w:eastAsia="黑体"/>
          <w:kern w:val="0"/>
          <w:sz w:val="32"/>
          <w:szCs w:val="32"/>
        </w:rPr>
        <w:t>第一部分 中共哈密市伊州区委员会机构编制委员会办公室概况</w:t>
      </w:r>
    </w:p>
    <w:p>
      <w:pPr>
        <w:widowControl/>
        <w:jc w:val="center"/>
        <w:outlineLvl w:val="1"/>
        <w:rPr>
          <w:rFonts w:ascii="宋体" w:hAnsi="宋体"/>
          <w:b/>
          <w:kern w:val="0"/>
          <w:sz w:val="32"/>
          <w:szCs w:val="32"/>
        </w:rPr>
      </w:pPr>
    </w:p>
    <w:p>
      <w:pPr>
        <w:widowControl/>
        <w:numPr>
          <w:ilvl w:val="0"/>
          <w:numId w:val="1"/>
        </w:numPr>
        <w:spacing w:line="560" w:lineRule="exact"/>
        <w:jc w:val="left"/>
        <w:rPr>
          <w:rFonts w:ascii="黑体" w:hAnsi="黑体" w:eastAsia="黑体" w:cs="宋体"/>
          <w:bCs/>
          <w:kern w:val="0"/>
          <w:sz w:val="32"/>
          <w:szCs w:val="32"/>
        </w:rPr>
      </w:pPr>
      <w:r>
        <w:rPr>
          <w:rFonts w:hint="eastAsia" w:ascii="黑体" w:hAnsi="黑体" w:eastAsia="黑体" w:cs="宋体"/>
          <w:bCs/>
          <w:kern w:val="0"/>
          <w:sz w:val="32"/>
          <w:szCs w:val="32"/>
        </w:rPr>
        <w:t>主要职能</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lang w:eastAsia="zh-CN"/>
        </w:rPr>
        <w:t>贯彻党中央、国务院</w:t>
      </w:r>
      <w:r>
        <w:rPr>
          <w:rFonts w:hint="eastAsia" w:ascii="仿宋_GB2312" w:hAnsi="宋体" w:eastAsia="仿宋_GB2312" w:cs="宋体"/>
          <w:color w:val="000000"/>
          <w:sz w:val="32"/>
          <w:szCs w:val="32"/>
        </w:rPr>
        <w:t>、自治区关于行政管理体制改革和机构编制管理方针、政策、法规，研究拟订实施细则和管理办法。</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统一管理伊州区各级党委、人大、政府、法院、检察院机关和人民团体机关及事业单位的机构编制工作。</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负责研究拟订区行政管理体制和机构改革的总体方案，协调并组织实施。</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协调区委、政府各部门的职能配置及调整工作，负责区委、政府各部门与乡镇（街道）之间的职责分工。</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统一管理区行政编制总额；核定区委、人大、政府、政协、法院、检察院机关和人民团体机关的机构设置、人员编制，并按规定程序报批。</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负责研究拟订、审核报批伊州区机关、事业单位科级领导职数；负责研究拟订区事业单位管理体制机构改革方案；认真执行自治区事业单位定编标准；审核相当正科、副科级事业单位的职能配置、机构设置和人员编制，并按规定程序报批。</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负责全区事业单位的登记管理工作，依法对区直属事业单位及各部门所属事业单位进行评估、核查、认定、登记、注册、变更、年检工作。</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配合财政部门做好全区财政统一发放工资的有关工作。</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负责监督检查全区机关、事业单位贯彻执行机构编制工作方针、政策、法规以及机构编制的落实情况。会同纪检（监察）部门查处违反机构编制管理规定的问题。</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负责做好机构编制实名制管理工作。</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负责全区机构编制的统计汇总和上报工作。</w:t>
      </w:r>
    </w:p>
    <w:p>
      <w:pPr>
        <w:spacing w:line="560" w:lineRule="exact"/>
        <w:ind w:firstLine="640"/>
        <w:rPr>
          <w:rFonts w:ascii="仿宋_GB2312" w:hAnsi="宋体" w:eastAsia="仿宋_GB2312" w:cs="宋体"/>
          <w:color w:val="000000"/>
          <w:sz w:val="32"/>
          <w:szCs w:val="32"/>
        </w:rPr>
      </w:pPr>
      <w:r>
        <w:rPr>
          <w:rFonts w:hint="eastAsia" w:ascii="仿宋_GB2312" w:hAnsi="宋体" w:eastAsia="仿宋_GB2312" w:cs="宋体"/>
          <w:color w:val="000000"/>
          <w:sz w:val="32"/>
          <w:szCs w:val="32"/>
        </w:rPr>
        <w:t>承办区委、区政府和区机构编制委员会交办的其它事项。</w:t>
      </w:r>
    </w:p>
    <w:p>
      <w:pPr>
        <w:widowControl/>
        <w:spacing w:line="560" w:lineRule="exact"/>
        <w:ind w:left="640"/>
        <w:jc w:val="left"/>
        <w:rPr>
          <w:rFonts w:ascii="黑体" w:hAnsi="黑体" w:eastAsia="黑体" w:cs="宋体"/>
          <w:bCs/>
          <w:kern w:val="0"/>
          <w:sz w:val="32"/>
          <w:szCs w:val="32"/>
        </w:rPr>
      </w:pP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widowControl/>
        <w:spacing w:line="560" w:lineRule="exact"/>
        <w:ind w:firstLine="640"/>
        <w:jc w:val="left"/>
        <w:rPr>
          <w:rFonts w:ascii="仿宋_GB2312" w:hAnsi="宋体" w:eastAsia="仿宋_GB2312" w:cs="宋体"/>
          <w:color w:val="000000"/>
          <w:sz w:val="32"/>
          <w:szCs w:val="32"/>
        </w:rPr>
      </w:pPr>
      <w:r>
        <w:rPr>
          <w:rFonts w:hint="eastAsia" w:ascii="仿宋_GB2312" w:hAnsi="宋体" w:eastAsia="仿宋_GB2312" w:cs="宋体"/>
          <w:color w:val="000000"/>
          <w:sz w:val="32"/>
          <w:szCs w:val="32"/>
        </w:rPr>
        <w:t>伊州区委编办无下属预算单位，下设4个科室，分别是：综合室（机构编制监督检查室）、党政机构编制管理室、事业机构编制管理室。</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color w:val="000000"/>
          <w:sz w:val="32"/>
          <w:szCs w:val="32"/>
        </w:rPr>
        <w:t>伊州区委编办编制数21人，实有人数1</w:t>
      </w:r>
      <w:r>
        <w:rPr>
          <w:rFonts w:ascii="仿宋_GB2312" w:hAnsi="宋体" w:eastAsia="仿宋_GB2312" w:cs="宋体"/>
          <w:color w:val="000000"/>
          <w:sz w:val="32"/>
          <w:szCs w:val="32"/>
        </w:rPr>
        <w:t>7</w:t>
      </w:r>
      <w:r>
        <w:rPr>
          <w:rFonts w:hint="eastAsia" w:ascii="仿宋_GB2312" w:hAnsi="宋体" w:eastAsia="仿宋_GB2312" w:cs="宋体"/>
          <w:color w:val="000000"/>
          <w:sz w:val="32"/>
          <w:szCs w:val="32"/>
        </w:rPr>
        <w:t>人，</w:t>
      </w:r>
      <w:r>
        <w:rPr>
          <w:rFonts w:hint="eastAsia" w:ascii="仿宋_GB2312" w:hAnsi="宋体" w:eastAsia="仿宋_GB2312" w:cs="宋体"/>
          <w:kern w:val="0"/>
          <w:sz w:val="32"/>
          <w:szCs w:val="32"/>
        </w:rPr>
        <w:t>其中：在职14人，增加0人；退休3人，增加0人；退休0人，减少0人。</w:t>
      </w:r>
    </w:p>
    <w:p>
      <w:pPr>
        <w:widowControl/>
        <w:spacing w:line="560" w:lineRule="exact"/>
        <w:ind w:firstLine="640"/>
        <w:jc w:val="center"/>
        <w:rPr>
          <w:rFonts w:ascii="黑体" w:hAnsi="黑体" w:eastAsia="黑体"/>
          <w:kern w:val="0"/>
          <w:sz w:val="32"/>
          <w:szCs w:val="32"/>
        </w:rPr>
      </w:pPr>
      <w:r>
        <w:rPr>
          <w:rFonts w:ascii="仿宋_GB2312" w:hAnsi="宋体" w:eastAsia="仿宋_GB2312" w:cs="宋体"/>
          <w:kern w:val="0"/>
          <w:sz w:val="32"/>
          <w:szCs w:val="32"/>
        </w:rPr>
        <w:br w:type="page"/>
      </w:r>
      <w:r>
        <w:rPr>
          <w:rFonts w:hint="eastAsia" w:ascii="黑体" w:hAnsi="黑体" w:eastAsia="黑体"/>
          <w:kern w:val="0"/>
          <w:sz w:val="32"/>
          <w:szCs w:val="32"/>
        </w:rPr>
        <w:t>第二部分  2021年部门预算公开表</w:t>
      </w:r>
    </w:p>
    <w:p>
      <w:pPr>
        <w:widowControl/>
        <w:spacing w:line="28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spacing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  部门收支总体情况表</w:t>
      </w:r>
    </w:p>
    <w:tbl>
      <w:tblPr>
        <w:tblStyle w:val="4"/>
        <w:tblpPr w:leftFromText="180" w:rightFromText="180" w:vertAnchor="text" w:horzAnchor="page" w:tblpX="1860" w:tblpY="294"/>
        <w:tblOverlap w:val="never"/>
        <w:tblW w:w="8662" w:type="dxa"/>
        <w:tblInd w:w="0" w:type="dxa"/>
        <w:tblLayout w:type="fixed"/>
        <w:tblCellMar>
          <w:top w:w="0" w:type="dxa"/>
          <w:left w:w="108" w:type="dxa"/>
          <w:bottom w:w="0" w:type="dxa"/>
          <w:right w:w="108" w:type="dxa"/>
        </w:tblCellMar>
      </w:tblPr>
      <w:tblGrid>
        <w:gridCol w:w="2280"/>
        <w:gridCol w:w="1988"/>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48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单位其他资金收入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16.19</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287"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抗疫特别国债还本支出</w:t>
            </w:r>
          </w:p>
        </w:tc>
        <w:tc>
          <w:tcPr>
            <w:tcW w:w="1701"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  </w:t>
            </w:r>
          </w:p>
        </w:tc>
        <w:tc>
          <w:tcPr>
            <w:tcW w:w="1988"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Layout w:type="fixed"/>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支  出  总  计</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r>
    </w:tbl>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编制部门：中共哈密市伊州区委员会机构编制委员会办公室       单位：万元</w:t>
      </w:r>
    </w:p>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编制部门：中共哈密市伊州区委员会机构编制委员会办公室             单位：万元</w:t>
      </w:r>
    </w:p>
    <w:tbl>
      <w:tblPr>
        <w:tblStyle w:val="4"/>
        <w:tblW w:w="9656" w:type="dxa"/>
        <w:tblInd w:w="0" w:type="dxa"/>
        <w:tblLayout w:type="fixed"/>
        <w:tblCellMar>
          <w:top w:w="0" w:type="dxa"/>
          <w:left w:w="108" w:type="dxa"/>
          <w:bottom w:w="0" w:type="dxa"/>
          <w:right w:w="108" w:type="dxa"/>
        </w:tblCellMar>
      </w:tblPr>
      <w:tblGrid>
        <w:gridCol w:w="493"/>
        <w:gridCol w:w="460"/>
        <w:gridCol w:w="419"/>
        <w:gridCol w:w="1855"/>
        <w:gridCol w:w="1261"/>
        <w:gridCol w:w="1149"/>
        <w:gridCol w:w="709"/>
        <w:gridCol w:w="655"/>
        <w:gridCol w:w="811"/>
        <w:gridCol w:w="597"/>
        <w:gridCol w:w="639"/>
        <w:gridCol w:w="608"/>
      </w:tblGrid>
      <w:tr>
        <w:tblPrEx>
          <w:tblLayout w:type="fixed"/>
          <w:tblCellMar>
            <w:top w:w="0" w:type="dxa"/>
            <w:left w:w="108" w:type="dxa"/>
            <w:bottom w:w="0" w:type="dxa"/>
            <w:right w:w="108" w:type="dxa"/>
          </w:tblCellMar>
        </w:tblPrEx>
        <w:trPr>
          <w:trHeight w:val="510" w:hRule="atLeast"/>
        </w:trPr>
        <w:tc>
          <w:tcPr>
            <w:tcW w:w="137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185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26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114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70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655" w:type="dxa"/>
            <w:vMerge w:val="restart"/>
            <w:tcBorders>
              <w:top w:val="single" w:color="auto" w:sz="4" w:space="0"/>
              <w:left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国有资本经营预算</w:t>
            </w:r>
          </w:p>
        </w:tc>
        <w:tc>
          <w:tcPr>
            <w:tcW w:w="81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59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3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0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单位其他资金收入</w:t>
            </w:r>
          </w:p>
        </w:tc>
      </w:tr>
      <w:tr>
        <w:tblPrEx>
          <w:tblLayout w:type="fixed"/>
          <w:tblCellMar>
            <w:top w:w="0" w:type="dxa"/>
            <w:left w:w="108" w:type="dxa"/>
            <w:bottom w:w="0" w:type="dxa"/>
            <w:right w:w="108" w:type="dxa"/>
          </w:tblCellMar>
        </w:tblPrEx>
        <w:trPr>
          <w:trHeight w:val="1870" w:hRule="atLeast"/>
        </w:trPr>
        <w:tc>
          <w:tcPr>
            <w:tcW w:w="493"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9"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185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1261"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1149"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09"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55" w:type="dxa"/>
            <w:vMerge w:val="continue"/>
            <w:tcBorders>
              <w:left w:val="single" w:color="auto" w:sz="4" w:space="0"/>
              <w:bottom w:val="single" w:color="auto" w:sz="4" w:space="0"/>
              <w:right w:val="single" w:color="auto" w:sz="4" w:space="0"/>
            </w:tcBorders>
          </w:tcPr>
          <w:p>
            <w:pPr>
              <w:rPr>
                <w:rFonts w:ascii="仿宋_GB2312" w:hAnsi="宋体" w:eastAsia="仿宋_GB2312" w:cs="宋体"/>
                <w:color w:val="000000"/>
                <w:sz w:val="20"/>
                <w:szCs w:val="20"/>
              </w:rPr>
            </w:pPr>
          </w:p>
        </w:tc>
        <w:tc>
          <w:tcPr>
            <w:tcW w:w="811"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59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39"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0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60"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p>
        </w:tc>
        <w:tc>
          <w:tcPr>
            <w:tcW w:w="419"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一般公共服务支出</w:t>
            </w:r>
          </w:p>
        </w:tc>
        <w:tc>
          <w:tcPr>
            <w:tcW w:w="1261" w:type="dxa"/>
            <w:tcBorders>
              <w:top w:val="nil"/>
              <w:left w:val="nil"/>
              <w:bottom w:val="single" w:color="auto" w:sz="4" w:space="0"/>
              <w:right w:val="single" w:color="auto" w:sz="4" w:space="0"/>
            </w:tcBorders>
            <w:shd w:val="clear" w:color="000000" w:fill="FFFFFF"/>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149" w:type="dxa"/>
            <w:tcBorders>
              <w:top w:val="nil"/>
              <w:left w:val="nil"/>
              <w:bottom w:val="single" w:color="auto" w:sz="4" w:space="0"/>
              <w:right w:val="single" w:color="auto" w:sz="4" w:space="0"/>
            </w:tcBorders>
            <w:shd w:val="clear" w:color="000000" w:fill="FFFFFF"/>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709" w:type="dxa"/>
            <w:tcBorders>
              <w:top w:val="nil"/>
              <w:left w:val="nil"/>
              <w:bottom w:val="single" w:color="auto" w:sz="4" w:space="0"/>
              <w:right w:val="single" w:color="auto" w:sz="4" w:space="0"/>
            </w:tcBorders>
            <w:shd w:val="clear" w:color="000000" w:fill="FFFFFF"/>
            <w:noWrap/>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shd w:val="clear" w:color="000000" w:fill="FFFFFF"/>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shd w:val="clear" w:color="000000" w:fill="FFFFFF"/>
            <w:noWrap/>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000000" w:fill="FFFFFF"/>
            <w:noWrap/>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shd w:val="clear" w:color="000000" w:fill="FFFFFF"/>
            <w:noWrap/>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政府办公厅（室）及相关机构事务</w:t>
            </w: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70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行政运行</w:t>
            </w: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70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70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行政事业单位离退休</w:t>
            </w: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70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w:t>
            </w: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70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70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70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70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70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70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70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70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70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70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26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70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c>
          <w:tcPr>
            <w:tcW w:w="655" w:type="dxa"/>
            <w:tcBorders>
              <w:top w:val="single" w:color="auto" w:sz="4" w:space="0"/>
              <w:left w:val="nil"/>
              <w:bottom w:val="single" w:color="auto" w:sz="4" w:space="0"/>
              <w:right w:val="single" w:color="auto" w:sz="4" w:space="0"/>
            </w:tcBorders>
          </w:tcPr>
          <w:p>
            <w:pPr>
              <w:spacing w:line="280" w:lineRule="exact"/>
              <w:jc w:val="left"/>
              <w:rPr>
                <w:rFonts w:ascii="仿宋_GB2312" w:hAnsi="宋体" w:eastAsia="仿宋_GB2312" w:cs="宋体"/>
                <w:kern w:val="0"/>
                <w:sz w:val="18"/>
                <w:szCs w:val="18"/>
              </w:rPr>
            </w:pPr>
          </w:p>
        </w:tc>
        <w:tc>
          <w:tcPr>
            <w:tcW w:w="81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597" w:type="dxa"/>
            <w:tcBorders>
              <w:top w:val="nil"/>
              <w:left w:val="nil"/>
              <w:bottom w:val="single" w:color="auto" w:sz="4" w:space="0"/>
              <w:right w:val="single" w:color="auto" w:sz="4" w:space="0"/>
            </w:tcBorders>
            <w:vAlign w:val="center"/>
          </w:tcPr>
          <w:p>
            <w:pPr>
              <w:spacing w:line="280" w:lineRule="exact"/>
              <w:jc w:val="lef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widowControl/>
              <w:jc w:val="center"/>
              <w:textAlignment w:val="bottom"/>
              <w:rPr>
                <w:rFonts w:ascii="仿宋_GB2312" w:hAnsi="宋体" w:eastAsia="仿宋_GB2312" w:cs="宋体"/>
                <w:color w:val="000000"/>
                <w:sz w:val="20"/>
                <w:szCs w:val="20"/>
              </w:rPr>
            </w:pPr>
          </w:p>
        </w:tc>
        <w:tc>
          <w:tcPr>
            <w:tcW w:w="460" w:type="dxa"/>
            <w:tcBorders>
              <w:top w:val="nil"/>
              <w:left w:val="nil"/>
              <w:bottom w:val="single" w:color="auto" w:sz="4" w:space="0"/>
              <w:right w:val="single" w:color="auto" w:sz="4" w:space="0"/>
            </w:tcBorders>
            <w:vAlign w:val="center"/>
          </w:tcPr>
          <w:p>
            <w:pPr>
              <w:widowControl/>
              <w:jc w:val="center"/>
              <w:textAlignment w:val="bottom"/>
              <w:rPr>
                <w:rFonts w:ascii="仿宋_GB2312" w:hAnsi="宋体" w:eastAsia="仿宋_GB2312" w:cs="宋体"/>
                <w:color w:val="000000"/>
                <w:sz w:val="20"/>
                <w:szCs w:val="20"/>
              </w:rPr>
            </w:pPr>
          </w:p>
        </w:tc>
        <w:tc>
          <w:tcPr>
            <w:tcW w:w="419" w:type="dxa"/>
            <w:tcBorders>
              <w:top w:val="nil"/>
              <w:left w:val="nil"/>
              <w:bottom w:val="single" w:color="auto" w:sz="4" w:space="0"/>
              <w:right w:val="single" w:color="auto" w:sz="4" w:space="0"/>
            </w:tcBorders>
            <w:vAlign w:val="center"/>
          </w:tcPr>
          <w:p>
            <w:pPr>
              <w:widowControl/>
              <w:jc w:val="center"/>
              <w:textAlignment w:val="bottom"/>
              <w:rPr>
                <w:rFonts w:ascii="仿宋_GB2312" w:hAnsi="宋体" w:eastAsia="仿宋_GB2312" w:cs="宋体"/>
                <w:color w:val="000000"/>
                <w:sz w:val="20"/>
                <w:szCs w:val="20"/>
              </w:rPr>
            </w:pPr>
          </w:p>
        </w:tc>
        <w:tc>
          <w:tcPr>
            <w:tcW w:w="1855" w:type="dxa"/>
            <w:tcBorders>
              <w:top w:val="nil"/>
              <w:left w:val="nil"/>
              <w:bottom w:val="single" w:color="auto" w:sz="4" w:space="0"/>
              <w:right w:val="single" w:color="auto" w:sz="4" w:space="0"/>
            </w:tcBorders>
            <w:vAlign w:val="center"/>
          </w:tcPr>
          <w:p>
            <w:pPr>
              <w:widowControl/>
              <w:jc w:val="right"/>
              <w:textAlignment w:val="bottom"/>
              <w:rPr>
                <w:rFonts w:ascii="仿宋_GB2312" w:hAnsi="宋体" w:eastAsia="仿宋_GB2312" w:cs="宋体"/>
                <w:color w:val="000000"/>
                <w:sz w:val="20"/>
                <w:szCs w:val="20"/>
              </w:rPr>
            </w:pPr>
          </w:p>
        </w:tc>
        <w:tc>
          <w:tcPr>
            <w:tcW w:w="1261" w:type="dxa"/>
            <w:tcBorders>
              <w:top w:val="nil"/>
              <w:left w:val="nil"/>
              <w:bottom w:val="single" w:color="auto" w:sz="4" w:space="0"/>
              <w:right w:val="single" w:color="auto" w:sz="4" w:space="0"/>
            </w:tcBorders>
            <w:vAlign w:val="center"/>
          </w:tcPr>
          <w:p>
            <w:pPr>
              <w:widowControl/>
              <w:jc w:val="right"/>
              <w:textAlignment w:val="bottom"/>
              <w:rPr>
                <w:rFonts w:ascii="仿宋_GB2312" w:hAnsi="宋体" w:eastAsia="仿宋_GB2312" w:cs="宋体"/>
                <w:color w:val="000000"/>
                <w:sz w:val="20"/>
                <w:szCs w:val="20"/>
              </w:rPr>
            </w:pPr>
          </w:p>
        </w:tc>
        <w:tc>
          <w:tcPr>
            <w:tcW w:w="1149" w:type="dxa"/>
            <w:tcBorders>
              <w:top w:val="nil"/>
              <w:left w:val="nil"/>
              <w:bottom w:val="single" w:color="auto" w:sz="4" w:space="0"/>
              <w:right w:val="single" w:color="auto" w:sz="4" w:space="0"/>
            </w:tcBorders>
            <w:vAlign w:val="center"/>
          </w:tcPr>
          <w:p>
            <w:pPr>
              <w:widowControl/>
              <w:jc w:val="right"/>
              <w:textAlignment w:val="bottom"/>
              <w:rPr>
                <w:rFonts w:ascii="仿宋_GB2312" w:hAnsi="宋体" w:eastAsia="仿宋_GB2312" w:cs="宋体"/>
                <w:color w:val="000000"/>
                <w:sz w:val="20"/>
                <w:szCs w:val="20"/>
              </w:rPr>
            </w:pP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55" w:type="dxa"/>
            <w:tcBorders>
              <w:top w:val="single" w:color="auto" w:sz="4" w:space="0"/>
              <w:left w:val="nil"/>
              <w:bottom w:val="single" w:color="auto" w:sz="4" w:space="0"/>
              <w:right w:val="single" w:color="auto" w:sz="4" w:space="0"/>
            </w:tcBorders>
          </w:tcPr>
          <w:p>
            <w:pPr>
              <w:jc w:val="left"/>
              <w:rPr>
                <w:rFonts w:ascii="仿宋_GB2312" w:eastAsia="仿宋_GB2312"/>
                <w:color w:val="000000"/>
                <w:sz w:val="20"/>
                <w:szCs w:val="20"/>
              </w:rPr>
            </w:pPr>
          </w:p>
        </w:tc>
        <w:tc>
          <w:tcPr>
            <w:tcW w:w="811"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465" w:hRule="atLeast"/>
        </w:trPr>
        <w:tc>
          <w:tcPr>
            <w:tcW w:w="493"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6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1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8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b/>
                <w:bCs/>
                <w:color w:val="000000"/>
                <w:sz w:val="20"/>
                <w:szCs w:val="20"/>
              </w:rPr>
              <w:t>合  计</w:t>
            </w:r>
          </w:p>
        </w:tc>
        <w:tc>
          <w:tcPr>
            <w:tcW w:w="126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1149"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55" w:type="dxa"/>
            <w:tcBorders>
              <w:top w:val="single" w:color="auto" w:sz="4" w:space="0"/>
              <w:left w:val="nil"/>
              <w:bottom w:val="single" w:color="auto" w:sz="4" w:space="0"/>
              <w:right w:val="single" w:color="auto" w:sz="4" w:space="0"/>
            </w:tcBorders>
          </w:tcPr>
          <w:p>
            <w:pPr>
              <w:jc w:val="left"/>
              <w:rPr>
                <w:rFonts w:ascii="仿宋_GB2312" w:eastAsia="仿宋_GB2312"/>
                <w:color w:val="000000"/>
                <w:sz w:val="20"/>
                <w:szCs w:val="20"/>
              </w:rPr>
            </w:pPr>
          </w:p>
        </w:tc>
        <w:tc>
          <w:tcPr>
            <w:tcW w:w="811"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59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3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6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表三：</w:t>
      </w:r>
    </w:p>
    <w:p>
      <w:pPr>
        <w:widowControl/>
        <w:spacing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编制部门：中共哈密市伊州区委员会机构编制委员会办公室           单位：万元</w:t>
      </w:r>
    </w:p>
    <w:tbl>
      <w:tblPr>
        <w:tblStyle w:val="4"/>
        <w:tblW w:w="9420" w:type="dxa"/>
        <w:tblInd w:w="-240" w:type="dxa"/>
        <w:tblLayout w:type="fixed"/>
        <w:tblCellMar>
          <w:top w:w="0" w:type="dxa"/>
          <w:left w:w="108" w:type="dxa"/>
          <w:bottom w:w="0" w:type="dxa"/>
          <w:right w:w="108" w:type="dxa"/>
        </w:tblCellMar>
      </w:tblPr>
      <w:tblGrid>
        <w:gridCol w:w="561"/>
        <w:gridCol w:w="560"/>
        <w:gridCol w:w="525"/>
        <w:gridCol w:w="2159"/>
        <w:gridCol w:w="1855"/>
        <w:gridCol w:w="1856"/>
        <w:gridCol w:w="1904"/>
      </w:tblGrid>
      <w:tr>
        <w:tblPrEx>
          <w:tblLayout w:type="fixed"/>
          <w:tblCellMar>
            <w:top w:w="0" w:type="dxa"/>
            <w:left w:w="108" w:type="dxa"/>
            <w:bottom w:w="0" w:type="dxa"/>
            <w:right w:w="108" w:type="dxa"/>
          </w:tblCellMar>
        </w:tblPrEx>
        <w:trPr>
          <w:trHeight w:val="345" w:hRule="atLeast"/>
        </w:trPr>
        <w:tc>
          <w:tcPr>
            <w:tcW w:w="380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项    目</w:t>
            </w:r>
          </w:p>
        </w:tc>
        <w:tc>
          <w:tcPr>
            <w:tcW w:w="5615"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Layout w:type="fixed"/>
          <w:tblCellMar>
            <w:top w:w="0" w:type="dxa"/>
            <w:left w:w="108" w:type="dxa"/>
            <w:bottom w:w="0" w:type="dxa"/>
            <w:right w:w="108" w:type="dxa"/>
          </w:tblCellMar>
        </w:tblPrEx>
        <w:trPr>
          <w:trHeight w:val="480" w:hRule="atLeast"/>
        </w:trPr>
        <w:tc>
          <w:tcPr>
            <w:tcW w:w="1646"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1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合  计</w:t>
            </w:r>
          </w:p>
        </w:tc>
        <w:tc>
          <w:tcPr>
            <w:tcW w:w="185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90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56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5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1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90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一般公共服务支出</w:t>
            </w: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904"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政府办公厅（室）及相关机构事务</w:t>
            </w: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904"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行政运行</w:t>
            </w: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904"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904"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行政事业单位离退休</w:t>
            </w: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904"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w:t>
            </w: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904"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904"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904"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904"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6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2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5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5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405" w:hRule="atLeast"/>
        </w:trPr>
        <w:tc>
          <w:tcPr>
            <w:tcW w:w="561"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560"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525"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15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2"/>
              </w:rPr>
            </w:pPr>
            <w:r>
              <w:rPr>
                <w:rFonts w:hint="eastAsia" w:ascii="宋体" w:hAnsi="宋体" w:cs="宋体"/>
                <w:b/>
                <w:bCs/>
                <w:color w:val="000000"/>
                <w:kern w:val="0"/>
                <w:sz w:val="22"/>
              </w:rPr>
              <w:t>合  计</w:t>
            </w:r>
          </w:p>
        </w:tc>
        <w:tc>
          <w:tcPr>
            <w:tcW w:w="1855"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1856"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190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表四：</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line="280" w:lineRule="exact"/>
        <w:jc w:val="left"/>
        <w:outlineLvl w:val="1"/>
        <w:rPr>
          <w:rFonts w:ascii="仿宋_GB2312" w:hAnsi="宋体" w:eastAsia="仿宋_GB2312"/>
          <w:kern w:val="0"/>
          <w:szCs w:val="21"/>
        </w:rPr>
      </w:pPr>
      <w:r>
        <w:rPr>
          <w:rFonts w:hint="eastAsia" w:ascii="仿宋_GB2312" w:hAnsi="宋体" w:eastAsia="仿宋_GB2312"/>
          <w:kern w:val="0"/>
          <w:sz w:val="24"/>
        </w:rPr>
        <w:t>编制部门：中共哈密市伊州区委员会机构编制委员会办公室</w:t>
      </w:r>
      <w:r>
        <w:rPr>
          <w:rFonts w:hint="eastAsia" w:ascii="仿宋_GB2312" w:hAnsi="宋体" w:eastAsia="仿宋_GB2312"/>
          <w:kern w:val="0"/>
          <w:szCs w:val="21"/>
        </w:rPr>
        <w:t xml:space="preserve">            单位：万元</w:t>
      </w:r>
    </w:p>
    <w:tbl>
      <w:tblPr>
        <w:tblStyle w:val="4"/>
        <w:tblW w:w="10064" w:type="dxa"/>
        <w:tblInd w:w="-240" w:type="dxa"/>
        <w:tblLayout w:type="fixed"/>
        <w:tblCellMar>
          <w:top w:w="0" w:type="dxa"/>
          <w:left w:w="108" w:type="dxa"/>
          <w:bottom w:w="0" w:type="dxa"/>
          <w:right w:w="108" w:type="dxa"/>
        </w:tblCellMar>
      </w:tblPr>
      <w:tblGrid>
        <w:gridCol w:w="1513"/>
        <w:gridCol w:w="1149"/>
        <w:gridCol w:w="2410"/>
        <w:gridCol w:w="1324"/>
        <w:gridCol w:w="1191"/>
        <w:gridCol w:w="1239"/>
        <w:gridCol w:w="1238"/>
      </w:tblGrid>
      <w:tr>
        <w:tblPrEx>
          <w:tblLayout w:type="fixed"/>
          <w:tblCellMar>
            <w:top w:w="0" w:type="dxa"/>
            <w:left w:w="108" w:type="dxa"/>
            <w:bottom w:w="0" w:type="dxa"/>
            <w:right w:w="108" w:type="dxa"/>
          </w:tblCellMar>
        </w:tblPrEx>
        <w:trPr>
          <w:trHeight w:val="287" w:hRule="atLeast"/>
        </w:trPr>
        <w:tc>
          <w:tcPr>
            <w:tcW w:w="2662" w:type="dxa"/>
            <w:gridSpan w:val="2"/>
            <w:tcBorders>
              <w:top w:val="single" w:color="auto" w:sz="4" w:space="0"/>
              <w:left w:val="single" w:color="auto" w:sz="4" w:space="0"/>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64" w:type="dxa"/>
            <w:gridSpan w:val="4"/>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c>
          <w:tcPr>
            <w:tcW w:w="1238" w:type="dxa"/>
            <w:tcBorders>
              <w:top w:val="single" w:color="auto" w:sz="4" w:space="0"/>
              <w:left w:val="nil"/>
              <w:bottom w:val="single" w:color="auto" w:sz="4" w:space="0"/>
              <w:right w:val="single" w:color="000000" w:sz="4" w:space="0"/>
            </w:tcBorders>
          </w:tcPr>
          <w:p>
            <w:pPr>
              <w:widowControl/>
              <w:spacing w:line="280" w:lineRule="exact"/>
              <w:jc w:val="center"/>
              <w:rPr>
                <w:rFonts w:ascii="仿宋_GB2312" w:hAnsi="宋体" w:eastAsia="仿宋_GB2312" w:cs="宋体"/>
                <w:b/>
                <w:bCs/>
                <w:kern w:val="0"/>
                <w:sz w:val="24"/>
              </w:rPr>
            </w:pPr>
          </w:p>
        </w:tc>
      </w:tr>
      <w:tr>
        <w:tblPrEx>
          <w:tblLayout w:type="fixed"/>
          <w:tblCellMar>
            <w:top w:w="0" w:type="dxa"/>
            <w:left w:w="108" w:type="dxa"/>
            <w:bottom w:w="0" w:type="dxa"/>
            <w:right w:w="108" w:type="dxa"/>
          </w:tblCellMar>
        </w:tblPrEx>
        <w:trPr>
          <w:trHeight w:val="468" w:hRule="atLeast"/>
        </w:trPr>
        <w:tc>
          <w:tcPr>
            <w:tcW w:w="151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14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41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32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119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23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123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国有资本经营预算</w:t>
            </w: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149"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149"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149"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16.19</w:t>
            </w: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16.19</w:t>
            </w: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抗疫特别国债还本支出</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149"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4" w:hRule="exact"/>
        </w:trPr>
        <w:tc>
          <w:tcPr>
            <w:tcW w:w="1513"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收  入  总  计</w:t>
            </w:r>
          </w:p>
        </w:tc>
        <w:tc>
          <w:tcPr>
            <w:tcW w:w="11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241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支  出  总  计</w:t>
            </w:r>
          </w:p>
        </w:tc>
        <w:tc>
          <w:tcPr>
            <w:tcW w:w="132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119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123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238" w:type="dxa"/>
            <w:tcBorders>
              <w:top w:val="nil"/>
              <w:left w:val="nil"/>
              <w:bottom w:val="single" w:color="auto" w:sz="4" w:space="0"/>
              <w:right w:val="single" w:color="auto" w:sz="4" w:space="0"/>
            </w:tcBorders>
          </w:tcPr>
          <w:p>
            <w:pPr>
              <w:widowControl/>
              <w:spacing w:line="280" w:lineRule="exact"/>
              <w:jc w:val="right"/>
              <w:rPr>
                <w:rFonts w:ascii="仿宋_GB2312" w:hAnsi="宋体" w:eastAsia="仿宋_GB2312" w:cs="宋体"/>
                <w:kern w:val="0"/>
                <w:sz w:val="18"/>
                <w:szCs w:val="18"/>
              </w:rPr>
            </w:pP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表五：</w:t>
      </w:r>
    </w:p>
    <w:tbl>
      <w:tblPr>
        <w:tblStyle w:val="4"/>
        <w:tblW w:w="9214" w:type="dxa"/>
        <w:tblInd w:w="-34" w:type="dxa"/>
        <w:tblLayout w:type="fixed"/>
        <w:tblCellMar>
          <w:top w:w="0" w:type="dxa"/>
          <w:left w:w="108" w:type="dxa"/>
          <w:bottom w:w="0" w:type="dxa"/>
          <w:right w:w="108" w:type="dxa"/>
        </w:tblCellMar>
      </w:tblPr>
      <w:tblGrid>
        <w:gridCol w:w="568"/>
        <w:gridCol w:w="492"/>
        <w:gridCol w:w="417"/>
        <w:gridCol w:w="2510"/>
        <w:gridCol w:w="1684"/>
        <w:gridCol w:w="480"/>
        <w:gridCol w:w="1362"/>
        <w:gridCol w:w="1701"/>
      </w:tblGrid>
      <w:tr>
        <w:tblPrEx>
          <w:tblLayout w:type="fixed"/>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6151" w:type="dxa"/>
            <w:gridSpan w:val="6"/>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中共哈密市伊州区委员会机构编制委员会办</w:t>
            </w:r>
            <w:r>
              <w:rPr>
                <w:rFonts w:hint="eastAsia" w:ascii="仿宋_GB2312" w:hAnsi="宋体" w:eastAsia="仿宋_GB2312"/>
                <w:kern w:val="0"/>
                <w:sz w:val="24"/>
                <w:lang w:eastAsia="zh-CN"/>
              </w:rPr>
              <w:t>公</w:t>
            </w:r>
            <w:bookmarkStart w:id="0" w:name="_GoBack"/>
            <w:bookmarkEnd w:id="0"/>
            <w:r>
              <w:rPr>
                <w:rFonts w:hint="eastAsia" w:ascii="仿宋_GB2312" w:hAnsi="宋体" w:eastAsia="仿宋_GB2312"/>
                <w:kern w:val="0"/>
                <w:sz w:val="24"/>
              </w:rPr>
              <w:t>室</w:t>
            </w:r>
          </w:p>
        </w:tc>
        <w:tc>
          <w:tcPr>
            <w:tcW w:w="3063" w:type="dxa"/>
            <w:gridSpan w:val="2"/>
            <w:tcBorders>
              <w:top w:val="nil"/>
              <w:left w:val="nil"/>
              <w:bottom w:val="nil"/>
              <w:right w:val="nil"/>
            </w:tcBorders>
            <w:noWrap/>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项   目</w:t>
            </w:r>
          </w:p>
        </w:tc>
        <w:tc>
          <w:tcPr>
            <w:tcW w:w="5227"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一般公共服务支出</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701"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政府办公厅（室）及相关机构事务</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701"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行政运行</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177.35</w:t>
            </w:r>
          </w:p>
        </w:tc>
        <w:tc>
          <w:tcPr>
            <w:tcW w:w="1701"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701"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行政事业单位离退休</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701"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16.19</w:t>
            </w:r>
          </w:p>
        </w:tc>
        <w:tc>
          <w:tcPr>
            <w:tcW w:w="1701"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701"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701"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11.84</w:t>
            </w:r>
          </w:p>
        </w:tc>
        <w:tc>
          <w:tcPr>
            <w:tcW w:w="1701"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0"/>
                <w:szCs w:val="20"/>
              </w:rPr>
              <w:t>合  计</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bl>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表六：</w:t>
      </w:r>
    </w:p>
    <w:tbl>
      <w:tblPr>
        <w:tblStyle w:val="4"/>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中共哈密市伊州区委员会机构编制委员会办公室</w:t>
            </w:r>
          </w:p>
        </w:tc>
        <w:tc>
          <w:tcPr>
            <w:tcW w:w="2426" w:type="dxa"/>
            <w:gridSpan w:val="2"/>
            <w:tcBorders>
              <w:top w:val="nil"/>
              <w:left w:val="nil"/>
              <w:bottom w:val="nil"/>
              <w:right w:val="nil"/>
            </w:tcBorders>
            <w:noWrap/>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Layout w:type="fixed"/>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510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工资福利支出</w:t>
            </w:r>
          </w:p>
        </w:tc>
        <w:tc>
          <w:tcPr>
            <w:tcW w:w="17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189.78</w:t>
            </w:r>
          </w:p>
        </w:tc>
        <w:tc>
          <w:tcPr>
            <w:tcW w:w="1701" w:type="dxa"/>
            <w:gridSpan w:val="2"/>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189.78</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r>
              <w:rPr>
                <w:rFonts w:hint="eastAsia" w:ascii="仿宋_GB2312" w:hAnsi="宋体" w:eastAsia="仿宋_GB2312" w:cs="宋体"/>
                <w:kern w:val="0"/>
                <w:sz w:val="18"/>
                <w:szCs w:val="18"/>
              </w:rPr>
              <w:t>1</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基本工资</w:t>
            </w:r>
          </w:p>
        </w:tc>
        <w:tc>
          <w:tcPr>
            <w:tcW w:w="17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48.9</w:t>
            </w:r>
            <w:r>
              <w:rPr>
                <w:rFonts w:ascii="仿宋_GB2312" w:hAnsi="宋体" w:eastAsia="仿宋_GB2312" w:cs="宋体"/>
                <w:kern w:val="0"/>
                <w:sz w:val="18"/>
                <w:szCs w:val="18"/>
              </w:rPr>
              <w:t>8</w:t>
            </w:r>
          </w:p>
        </w:tc>
        <w:tc>
          <w:tcPr>
            <w:tcW w:w="1701" w:type="dxa"/>
            <w:gridSpan w:val="2"/>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48.9</w:t>
            </w:r>
            <w:r>
              <w:rPr>
                <w:rFonts w:ascii="仿宋_GB2312" w:hAnsi="宋体" w:eastAsia="仿宋_GB2312" w:cs="宋体"/>
                <w:kern w:val="0"/>
                <w:sz w:val="18"/>
                <w:szCs w:val="18"/>
              </w:rPr>
              <w:t>8</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r>
              <w:rPr>
                <w:rFonts w:hint="eastAsia" w:ascii="仿宋_GB2312" w:hAnsi="宋体" w:eastAsia="仿宋_GB2312" w:cs="宋体"/>
                <w:kern w:val="0"/>
                <w:sz w:val="18"/>
                <w:szCs w:val="18"/>
              </w:rPr>
              <w:t>2</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津贴补贴</w:t>
            </w:r>
          </w:p>
        </w:tc>
        <w:tc>
          <w:tcPr>
            <w:tcW w:w="17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40.83</w:t>
            </w:r>
          </w:p>
        </w:tc>
        <w:tc>
          <w:tcPr>
            <w:tcW w:w="1701" w:type="dxa"/>
            <w:gridSpan w:val="2"/>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40.83</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r>
              <w:rPr>
                <w:rFonts w:hint="eastAsia" w:ascii="仿宋_GB2312" w:hAnsi="宋体" w:eastAsia="仿宋_GB2312" w:cs="宋体"/>
                <w:kern w:val="0"/>
                <w:sz w:val="18"/>
                <w:szCs w:val="18"/>
              </w:rPr>
              <w:t>3</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奖金</w:t>
            </w:r>
          </w:p>
        </w:tc>
        <w:tc>
          <w:tcPr>
            <w:tcW w:w="17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4.08</w:t>
            </w:r>
          </w:p>
        </w:tc>
        <w:tc>
          <w:tcPr>
            <w:tcW w:w="1701" w:type="dxa"/>
            <w:gridSpan w:val="2"/>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4.08</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职工基本医疗保险缴费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9.91</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9.91</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12</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其他社会保险缴费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0.8</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0.8</w:t>
            </w:r>
            <w:r>
              <w:rPr>
                <w:rFonts w:ascii="仿宋_GB2312" w:hAnsi="宋体" w:eastAsia="仿宋_GB2312" w:cs="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99</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其他工资福利支出</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60.44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60.44</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14.14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14.14</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13</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r>
              <w:rPr>
                <w:rFonts w:ascii="仿宋_GB2312" w:hAnsi="宋体" w:eastAsia="仿宋_GB2312" w:cs="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商品和服务支出</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14.58</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14.58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r>
              <w:rPr>
                <w:rFonts w:hint="eastAsia" w:ascii="仿宋_GB2312" w:hAnsi="宋体" w:eastAsia="仿宋_GB2312" w:cs="宋体"/>
                <w:kern w:val="0"/>
                <w:sz w:val="18"/>
                <w:szCs w:val="18"/>
              </w:rPr>
              <w:t>1</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办公费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8.69</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8.69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r>
              <w:rPr>
                <w:rFonts w:hint="eastAsia" w:ascii="仿宋_GB2312" w:hAnsi="宋体" w:eastAsia="仿宋_GB2312" w:cs="宋体"/>
                <w:kern w:val="0"/>
                <w:sz w:val="18"/>
                <w:szCs w:val="18"/>
              </w:rPr>
              <w:t>7</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邮电费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w:t>
            </w:r>
            <w:r>
              <w:rPr>
                <w:rFonts w:ascii="仿宋_GB2312" w:hAnsi="宋体" w:eastAsia="仿宋_GB2312" w:cs="宋体"/>
                <w:kern w:val="0"/>
                <w:sz w:val="18"/>
                <w:szCs w:val="18"/>
              </w:rPr>
              <w:t>.00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w:t>
            </w:r>
            <w:r>
              <w:rPr>
                <w:rFonts w:ascii="仿宋_GB2312" w:hAnsi="宋体" w:eastAsia="仿宋_GB2312" w:cs="宋体"/>
                <w:kern w:val="0"/>
                <w:sz w:val="18"/>
                <w:szCs w:val="18"/>
              </w:rPr>
              <w:t>.00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差旅费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w:t>
            </w:r>
            <w:r>
              <w:rPr>
                <w:rFonts w:ascii="仿宋_GB2312" w:hAnsi="宋体" w:eastAsia="仿宋_GB2312" w:cs="宋体"/>
                <w:kern w:val="0"/>
                <w:sz w:val="18"/>
                <w:szCs w:val="18"/>
              </w:rPr>
              <w:t>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28</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工会经费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1.17</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29</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福利费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31</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公务用车运行维护费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1.16</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对个人和家庭的补助</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1.02</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1.02</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r>
              <w:rPr>
                <w:rFonts w:hint="eastAsia" w:ascii="仿宋_GB2312" w:hAnsi="宋体" w:eastAsia="仿宋_GB2312" w:cs="宋体"/>
                <w:kern w:val="0"/>
                <w:sz w:val="18"/>
                <w:szCs w:val="18"/>
              </w:rPr>
              <w:t>2</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退休费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0.48</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0.48</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0</w:t>
            </w:r>
            <w:r>
              <w:rPr>
                <w:rFonts w:hint="eastAsia" w:ascii="仿宋_GB2312" w:hAnsi="宋体" w:eastAsia="仿宋_GB2312" w:cs="宋体"/>
                <w:kern w:val="0"/>
                <w:sz w:val="18"/>
                <w:szCs w:val="18"/>
              </w:rPr>
              <w:t>5</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生活补助</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0.54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0.54</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0"/>
                <w:szCs w:val="20"/>
              </w:rPr>
              <w:t>合  计</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205.38</w:t>
            </w:r>
          </w:p>
        </w:tc>
        <w:tc>
          <w:tcPr>
            <w:tcW w:w="1701" w:type="dxa"/>
            <w:gridSpan w:val="2"/>
            <w:tcBorders>
              <w:top w:val="nil"/>
              <w:left w:val="nil"/>
              <w:bottom w:val="single" w:color="auto" w:sz="4" w:space="0"/>
              <w:right w:val="single" w:color="auto" w:sz="4" w:space="0"/>
            </w:tcBorders>
            <w:vAlign w:val="center"/>
          </w:tcPr>
          <w:p>
            <w:pPr>
              <w:widowControl/>
              <w:spacing w:line="280" w:lineRule="exact"/>
              <w:ind w:right="147" w:rightChars="70"/>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190.8</w:t>
            </w:r>
            <w:r>
              <w:rPr>
                <w:rFonts w:ascii="仿宋_GB2312" w:hAnsi="宋体" w:eastAsia="仿宋_GB2312" w:cs="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14.58</w:t>
            </w:r>
          </w:p>
        </w:tc>
      </w:tr>
    </w:tbl>
    <w:p>
      <w:pPr>
        <w:widowControl/>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4"/>
        <w:tblW w:w="9540" w:type="dxa"/>
        <w:tblInd w:w="-360" w:type="dxa"/>
        <w:tblLayout w:type="fixed"/>
        <w:tblCellMar>
          <w:top w:w="0" w:type="dxa"/>
          <w:left w:w="108" w:type="dxa"/>
          <w:bottom w:w="0" w:type="dxa"/>
          <w:right w:w="108" w:type="dxa"/>
        </w:tblCellMar>
      </w:tblPr>
      <w:tblGrid>
        <w:gridCol w:w="8"/>
        <w:gridCol w:w="389"/>
        <w:gridCol w:w="397"/>
        <w:gridCol w:w="397"/>
        <w:gridCol w:w="851"/>
        <w:gridCol w:w="1261"/>
        <w:gridCol w:w="851"/>
        <w:gridCol w:w="663"/>
        <w:gridCol w:w="536"/>
        <w:gridCol w:w="652"/>
        <w:gridCol w:w="652"/>
        <w:gridCol w:w="405"/>
        <w:gridCol w:w="592"/>
        <w:gridCol w:w="578"/>
        <w:gridCol w:w="420"/>
        <w:gridCol w:w="420"/>
        <w:gridCol w:w="389"/>
        <w:gridCol w:w="79"/>
      </w:tblGrid>
      <w:tr>
        <w:tblPrEx>
          <w:tblLayout w:type="fixed"/>
          <w:tblCellMar>
            <w:top w:w="0" w:type="dxa"/>
            <w:left w:w="108" w:type="dxa"/>
            <w:bottom w:w="0" w:type="dxa"/>
            <w:right w:w="108" w:type="dxa"/>
          </w:tblCellMar>
        </w:tblPrEx>
        <w:trPr>
          <w:gridBefore w:val="1"/>
          <w:gridAfter w:val="1"/>
          <w:wBefore w:w="8" w:type="dxa"/>
          <w:wAfter w:w="79" w:type="dxa"/>
          <w:trHeight w:val="375" w:hRule="atLeast"/>
        </w:trPr>
        <w:tc>
          <w:tcPr>
            <w:tcW w:w="9453" w:type="dxa"/>
            <w:gridSpan w:val="16"/>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9" w:type="dxa"/>
          <w:trHeight w:val="405" w:hRule="atLeast"/>
        </w:trPr>
        <w:tc>
          <w:tcPr>
            <w:tcW w:w="7054" w:type="dxa"/>
            <w:gridSpan w:val="11"/>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中共哈密市伊州区委员会机构编制委员会办公室</w:t>
            </w:r>
          </w:p>
        </w:tc>
        <w:tc>
          <w:tcPr>
            <w:tcW w:w="2399" w:type="dxa"/>
            <w:gridSpan w:val="5"/>
            <w:tcBorders>
              <w:top w:val="nil"/>
              <w:left w:val="nil"/>
              <w:bottom w:val="nil"/>
              <w:right w:val="nil"/>
            </w:tcBorders>
            <w:noWrap/>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191" w:type="dxa"/>
            <w:gridSpan w:val="4"/>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851" w:type="dxa"/>
            <w:vMerge w:val="restart"/>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261" w:type="dxa"/>
            <w:vMerge w:val="restart"/>
            <w:noWrap/>
            <w:vAlign w:val="center"/>
          </w:tcPr>
          <w:p>
            <w:pPr>
              <w:jc w:val="center"/>
              <w:rPr>
                <w:sz w:val="24"/>
              </w:rPr>
            </w:pPr>
            <w:r>
              <w:rPr>
                <w:rFonts w:hint="eastAsia" w:ascii="仿宋_GB2312" w:hAnsi="宋体" w:eastAsia="仿宋_GB2312"/>
                <w:b/>
                <w:kern w:val="0"/>
                <w:sz w:val="24"/>
              </w:rPr>
              <w:t>项目名称</w:t>
            </w:r>
          </w:p>
        </w:tc>
        <w:tc>
          <w:tcPr>
            <w:tcW w:w="851"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663"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536"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405"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59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8"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468"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397" w:type="dxa"/>
            <w:gridSpan w:val="2"/>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397" w:type="dxa"/>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397" w:type="dxa"/>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851" w:type="dxa"/>
            <w:vMerge w:val="continue"/>
            <w:tcBorders>
              <w:bottom w:val="single" w:color="auto" w:sz="4" w:space="0"/>
            </w:tcBorders>
            <w:vAlign w:val="center"/>
          </w:tcPr>
          <w:p>
            <w:pPr>
              <w:widowControl/>
              <w:jc w:val="left"/>
              <w:outlineLvl w:val="1"/>
              <w:rPr>
                <w:rFonts w:ascii="仿宋_GB2312" w:hAnsi="宋体" w:eastAsia="仿宋_GB2312"/>
                <w:b/>
                <w:kern w:val="0"/>
                <w:sz w:val="18"/>
                <w:szCs w:val="18"/>
              </w:rPr>
            </w:pPr>
          </w:p>
        </w:tc>
        <w:tc>
          <w:tcPr>
            <w:tcW w:w="1261"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851"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63"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36"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05"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92"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68" w:type="dxa"/>
            <w:gridSpan w:val="2"/>
            <w:vMerge w:val="continue"/>
            <w:tcBorders>
              <w:bottom w:val="single" w:color="auto" w:sz="4" w:space="0"/>
            </w:tcBorders>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397"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261"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outlineLvl w:val="1"/>
              <w:rPr>
                <w:rFonts w:ascii="仿宋_GB2312" w:hAnsi="宋体" w:eastAsia="仿宋_GB2312"/>
                <w:kern w:val="0"/>
                <w:sz w:val="32"/>
                <w:szCs w:val="32"/>
              </w:rPr>
            </w:pPr>
          </w:p>
        </w:tc>
        <w:tc>
          <w:tcPr>
            <w:tcW w:w="663"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405" w:type="dxa"/>
            <w:vAlign w:val="center"/>
          </w:tcPr>
          <w:p>
            <w:pPr>
              <w:widowControl/>
              <w:outlineLvl w:val="1"/>
              <w:rPr>
                <w:rFonts w:ascii="仿宋_GB2312" w:hAnsi="宋体" w:eastAsia="仿宋_GB2312"/>
                <w:kern w:val="0"/>
                <w:sz w:val="32"/>
                <w:szCs w:val="32"/>
              </w:rPr>
            </w:pPr>
          </w:p>
        </w:tc>
        <w:tc>
          <w:tcPr>
            <w:tcW w:w="592"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68" w:type="dxa"/>
            <w:gridSpan w:val="2"/>
            <w:vAlign w:val="center"/>
          </w:tcPr>
          <w:p>
            <w:pPr>
              <w:widowControl/>
              <w:outlineLvl w:val="1"/>
              <w:rPr>
                <w:rFonts w:ascii="仿宋_GB2312" w:hAnsi="宋体" w:eastAsia="仿宋_GB2312"/>
                <w:kern w:val="0"/>
                <w:sz w:val="32"/>
                <w:szCs w:val="32"/>
              </w:rPr>
            </w:pP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备注：本年无一般公共预算项目支出预算安排，此表为空表。</w:t>
      </w: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表八：</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编制部门：中共哈密市伊州区委员会机构编制委员会办公室          单位：万元</w:t>
      </w:r>
    </w:p>
    <w:tbl>
      <w:tblPr>
        <w:tblStyle w:val="4"/>
        <w:tblW w:w="9240" w:type="dxa"/>
        <w:tblInd w:w="-173" w:type="dxa"/>
        <w:tblLayout w:type="fixed"/>
        <w:tblCellMar>
          <w:top w:w="0" w:type="dxa"/>
          <w:left w:w="108" w:type="dxa"/>
          <w:bottom w:w="0" w:type="dxa"/>
          <w:right w:w="108" w:type="dxa"/>
        </w:tblCellMar>
      </w:tblPr>
      <w:tblGrid>
        <w:gridCol w:w="1575"/>
        <w:gridCol w:w="1417"/>
        <w:gridCol w:w="1559"/>
        <w:gridCol w:w="1418"/>
        <w:gridCol w:w="1559"/>
        <w:gridCol w:w="1712"/>
      </w:tblGrid>
      <w:tr>
        <w:tblPrEx>
          <w:tblLayout w:type="fixed"/>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  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公务接待费</w:t>
            </w:r>
          </w:p>
        </w:tc>
      </w:tr>
      <w:tr>
        <w:tblPrEx>
          <w:tblLayout w:type="fixed"/>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rPr>
            </w:pP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合计</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  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rPr>
            </w:pPr>
          </w:p>
        </w:tc>
      </w:tr>
      <w:tr>
        <w:tblPrEx>
          <w:tblLayout w:type="fixed"/>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4"/>
              </w:rPr>
            </w:pPr>
            <w:r>
              <w:rPr>
                <w:rFonts w:hint="eastAsia" w:ascii="宋体" w:hAnsi="宋体" w:cs="宋体"/>
                <w:color w:val="000000"/>
                <w:kern w:val="0"/>
                <w:sz w:val="24"/>
              </w:rPr>
              <w:t>1.16</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r>
              <w:rPr>
                <w:rFonts w:hint="eastAsia" w:ascii="宋体" w:hAnsi="宋体" w:cs="宋体"/>
                <w:color w:val="000000"/>
                <w:kern w:val="0"/>
                <w:sz w:val="24"/>
              </w:rPr>
              <w:t>0</w:t>
            </w:r>
            <w:r>
              <w:rPr>
                <w:rFonts w:ascii="宋体" w:hAnsi="宋体" w:cs="宋体"/>
                <w:color w:val="000000"/>
                <w:kern w:val="0"/>
                <w:sz w:val="24"/>
              </w:rPr>
              <w:t>.00</w:t>
            </w: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r>
              <w:rPr>
                <w:rFonts w:hint="eastAsia" w:ascii="宋体" w:hAnsi="宋体" w:cs="宋体"/>
                <w:color w:val="000000"/>
                <w:kern w:val="0"/>
                <w:sz w:val="24"/>
              </w:rPr>
              <w:t>1.16</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r>
              <w:rPr>
                <w:rFonts w:hint="eastAsia" w:ascii="宋体" w:hAnsi="宋体" w:cs="宋体"/>
                <w:color w:val="000000"/>
                <w:kern w:val="0"/>
                <w:sz w:val="24"/>
              </w:rPr>
              <w:t>0</w:t>
            </w:r>
            <w:r>
              <w:rPr>
                <w:rFonts w:ascii="宋体" w:hAnsi="宋体" w:cs="宋体"/>
                <w:color w:val="000000"/>
                <w:kern w:val="0"/>
                <w:sz w:val="24"/>
              </w:rPr>
              <w:t>.00</w:t>
            </w: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r>
              <w:rPr>
                <w:rFonts w:hint="eastAsia" w:ascii="宋体" w:hAnsi="宋体" w:cs="宋体"/>
                <w:color w:val="000000"/>
                <w:kern w:val="0"/>
                <w:sz w:val="24"/>
              </w:rPr>
              <w:t>1.16</w:t>
            </w:r>
          </w:p>
        </w:tc>
        <w:tc>
          <w:tcPr>
            <w:tcW w:w="171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r>
              <w:rPr>
                <w:rFonts w:hint="eastAsia" w:ascii="宋体" w:hAnsi="宋体" w:cs="宋体"/>
                <w:color w:val="000000"/>
                <w:kern w:val="0"/>
                <w:sz w:val="24"/>
              </w:rPr>
              <w:t>0</w:t>
            </w:r>
            <w:r>
              <w:rPr>
                <w:rFonts w:ascii="宋体" w:hAnsi="宋体" w:cs="宋体"/>
                <w:color w:val="000000"/>
                <w:kern w:val="0"/>
                <w:sz w:val="24"/>
              </w:rPr>
              <w:t>.00</w:t>
            </w:r>
          </w:p>
        </w:tc>
      </w:tr>
      <w:tr>
        <w:tblPrEx>
          <w:tblLayout w:type="fixed"/>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表九：</w:t>
      </w:r>
    </w:p>
    <w:p>
      <w:pPr>
        <w:widowControl/>
        <w:spacing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编制部门：中共哈密市伊州区委员会机构编制委员会办公室            单位：万元</w:t>
      </w:r>
    </w:p>
    <w:tbl>
      <w:tblPr>
        <w:tblStyle w:val="4"/>
        <w:tblW w:w="9214" w:type="dxa"/>
        <w:tblInd w:w="-34" w:type="dxa"/>
        <w:tblLayout w:type="fixed"/>
        <w:tblCellMar>
          <w:top w:w="0" w:type="dxa"/>
          <w:left w:w="108" w:type="dxa"/>
          <w:bottom w:w="0" w:type="dxa"/>
          <w:right w:w="108" w:type="dxa"/>
        </w:tblCellMar>
      </w:tblPr>
      <w:tblGrid>
        <w:gridCol w:w="585"/>
        <w:gridCol w:w="457"/>
        <w:gridCol w:w="699"/>
        <w:gridCol w:w="2544"/>
        <w:gridCol w:w="1669"/>
        <w:gridCol w:w="1701"/>
        <w:gridCol w:w="1559"/>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929" w:type="dxa"/>
            <w:gridSpan w:val="3"/>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Layout w:type="fixed"/>
          <w:tblCellMar>
            <w:top w:w="0" w:type="dxa"/>
            <w:left w:w="108" w:type="dxa"/>
            <w:bottom w:w="0" w:type="dxa"/>
            <w:right w:w="108" w:type="dxa"/>
          </w:tblCellMar>
        </w:tblPrEx>
        <w:trPr>
          <w:trHeight w:val="360" w:hRule="atLeast"/>
        </w:trPr>
        <w:tc>
          <w:tcPr>
            <w:tcW w:w="174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5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66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Layout w:type="fixed"/>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5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66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r>
              <w:rPr>
                <w:rFonts w:hint="eastAsia" w:ascii="仿宋_GB2312" w:hAnsi="宋体" w:eastAsia="仿宋_GB2312" w:cs="宋体"/>
                <w:b/>
                <w:bCs/>
                <w:color w:val="000000"/>
                <w:kern w:val="0"/>
                <w:sz w:val="24"/>
              </w:rPr>
              <w:t>合  计</w:t>
            </w:r>
          </w:p>
        </w:tc>
        <w:tc>
          <w:tcPr>
            <w:tcW w:w="166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r>
    </w:tbl>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备注：本年无政府性基金预算支出预算安排，此表为空表。</w:t>
      </w:r>
    </w:p>
    <w:p>
      <w:pPr>
        <w:widowControl/>
        <w:spacing w:line="280" w:lineRule="exact"/>
        <w:jc w:val="left"/>
        <w:outlineLvl w:val="1"/>
        <w:rPr>
          <w:rFonts w:ascii="仿宋_GB2312" w:hAnsi="宋体" w:eastAsia="仿宋_GB2312"/>
          <w:kern w:val="0"/>
          <w:sz w:val="32"/>
          <w:szCs w:val="32"/>
        </w:rPr>
        <w:sectPr>
          <w:footerReference r:id="rId3" w:type="default"/>
          <w:footerReference r:id="rId4" w:type="even"/>
          <w:pgSz w:w="11906" w:h="16838"/>
          <w:pgMar w:top="2098" w:right="1058" w:bottom="1928" w:left="1408" w:header="851" w:footer="992" w:gutter="0"/>
          <w:pgNumType w:fmt="numberInDash"/>
          <w:cols w:space="720" w:num="1"/>
          <w:docGrid w:linePitch="312" w:charSpace="0"/>
        </w:sectPr>
      </w:pP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2021年伊州区区委编办部门预算情况说明</w:t>
      </w:r>
    </w:p>
    <w:p>
      <w:pPr>
        <w:spacing w:line="560" w:lineRule="exact"/>
        <w:jc w:val="center"/>
        <w:rPr>
          <w:rFonts w:ascii="黑体" w:hAnsi="黑体" w:eastAsia="黑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w:t>
      </w:r>
      <w:r>
        <w:rPr>
          <w:rFonts w:hint="eastAsia" w:ascii="黑体" w:hAnsi="黑体" w:eastAsia="黑体"/>
          <w:kern w:val="0"/>
          <w:sz w:val="32"/>
          <w:szCs w:val="32"/>
        </w:rPr>
        <w:t>中共哈密市伊州区委员会机构编制委员会办公室</w:t>
      </w:r>
      <w:r>
        <w:rPr>
          <w:rFonts w:hint="eastAsia" w:ascii="黑体" w:hAnsi="宋体" w:eastAsia="黑体" w:cs="宋体"/>
          <w:kern w:val="0"/>
          <w:sz w:val="32"/>
          <w:szCs w:val="32"/>
        </w:rPr>
        <w:t>2021年收支预算情况的总体说明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按照全口径预算的原则，中共哈密市伊州区委员会机构编制委员会办公室2021年所有收入和支出均纳入部门预算管理。收支总预算205.38万元。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支出预算包括：一般公共服务支出、社会保障和就业支出、住房保障支出。</w:t>
      </w:r>
    </w:p>
    <w:p>
      <w:pPr>
        <w:spacing w:line="560" w:lineRule="exact"/>
        <w:ind w:firstLine="643" w:firstLineChars="200"/>
        <w:rPr>
          <w:rFonts w:ascii="仿宋_GB2312" w:hAnsi="宋体" w:eastAsia="仿宋_GB2312" w:cs="宋体"/>
          <w:b/>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二、关于中共哈密市伊州区委员会机构编制委员会办公室2021年收入预算情况说明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中共哈密市伊州区委员会机构编制委员会办公室收入预算205.38万元，其中：</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kern w:val="0"/>
          <w:sz w:val="32"/>
          <w:szCs w:val="32"/>
        </w:rPr>
        <w:t>一般公共预算205.38万元，占100</w:t>
      </w:r>
      <w:r>
        <w:rPr>
          <w:rFonts w:ascii="仿宋_GB2312" w:hAnsi="宋体" w:eastAsia="仿宋_GB2312" w:cs="宋体"/>
          <w:kern w:val="0"/>
          <w:sz w:val="32"/>
          <w:szCs w:val="32"/>
        </w:rPr>
        <w:t>.00</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增加6.33万元，</w:t>
      </w:r>
      <w:r>
        <w:rPr>
          <w:rFonts w:hint="eastAsia" w:ascii="仿宋_GB2312" w:hAnsi="宋体" w:eastAsia="仿宋_GB2312" w:cs="宋体"/>
          <w:sz w:val="32"/>
          <w:szCs w:val="32"/>
        </w:rPr>
        <w:t>主要原因是人员变动，工作力度增强，公用经费增加；</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政府性基金预算</w:t>
      </w:r>
      <w:r>
        <w:rPr>
          <w:rFonts w:hint="eastAsia" w:ascii="仿宋_GB2312" w:hAnsi="宋体" w:eastAsia="仿宋_GB2312" w:cs="宋体"/>
          <w:kern w:val="0"/>
          <w:sz w:val="32"/>
          <w:szCs w:val="32"/>
        </w:rPr>
        <w:t>未安排</w:t>
      </w:r>
      <w:r>
        <w:rPr>
          <w:rFonts w:hint="eastAsia" w:ascii="仿宋_GB2312" w:hAnsi="宋体" w:eastAsia="仿宋_GB2312" w:cs="宋体"/>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三、关于中共哈密市伊州区委员会机构编制委员会办公室2021年支出预算情况说明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中共哈密市伊州区委员会机构编制委员会办公室2021年支出预算205.38万元，其中：</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kern w:val="0"/>
          <w:sz w:val="32"/>
          <w:szCs w:val="32"/>
        </w:rPr>
        <w:t>基本支出205.38万元，占100</w:t>
      </w:r>
      <w:r>
        <w:rPr>
          <w:rFonts w:ascii="仿宋_GB2312" w:hAnsi="宋体" w:eastAsia="仿宋_GB2312" w:cs="宋体"/>
          <w:kern w:val="0"/>
          <w:sz w:val="32"/>
          <w:szCs w:val="32"/>
        </w:rPr>
        <w:t>.00</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sz w:val="32"/>
          <w:szCs w:val="32"/>
        </w:rPr>
        <w:t>增加</w:t>
      </w:r>
      <w:r>
        <w:rPr>
          <w:rFonts w:hint="eastAsia" w:ascii="仿宋_GB2312" w:hAnsi="宋体" w:eastAsia="仿宋_GB2312" w:cs="宋体"/>
          <w:kern w:val="0"/>
          <w:sz w:val="32"/>
          <w:szCs w:val="32"/>
        </w:rPr>
        <w:t>6.33</w:t>
      </w:r>
      <w:r>
        <w:rPr>
          <w:rFonts w:hint="eastAsia" w:ascii="仿宋_GB2312" w:hAnsi="宋体" w:eastAsia="仿宋_GB2312" w:cs="宋体"/>
          <w:sz w:val="32"/>
          <w:szCs w:val="32"/>
        </w:rPr>
        <w:t>万元</w:t>
      </w:r>
      <w:r>
        <w:rPr>
          <w:rFonts w:hint="eastAsia" w:ascii="仿宋_GB2312" w:hAnsi="宋体" w:eastAsia="仿宋_GB2312" w:cs="宋体"/>
          <w:kern w:val="0"/>
          <w:sz w:val="32"/>
          <w:szCs w:val="32"/>
        </w:rPr>
        <w:t>，</w:t>
      </w:r>
      <w:r>
        <w:rPr>
          <w:rFonts w:hint="eastAsia" w:ascii="仿宋_GB2312" w:hAnsi="宋体" w:eastAsia="仿宋_GB2312" w:cs="宋体"/>
          <w:sz w:val="32"/>
          <w:szCs w:val="32"/>
        </w:rPr>
        <w:t>主要原因是人员变动，工作力度增强，公用经费增加。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万元，占0</w:t>
      </w:r>
      <w:r>
        <w:rPr>
          <w:rFonts w:ascii="仿宋_GB2312" w:hAnsi="宋体" w:eastAsia="仿宋_GB2312" w:cs="宋体"/>
          <w:kern w:val="0"/>
          <w:sz w:val="32"/>
          <w:szCs w:val="32"/>
        </w:rPr>
        <w:t>.00</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增加0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万元，主要原因是我单位无此项支出，无相关经费安排。</w:t>
      </w: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四、关于中共哈密市伊州区委员会机构编制委员会办公室2021年财政拨款收支预算情况的总体说明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2021年财政拨款收支总预算205.38万元。</w:t>
      </w:r>
    </w:p>
    <w:p>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收入预算包括：一般公共预算拨款205.38万元。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一般公共预算支出包括：2</w:t>
      </w:r>
      <w:r>
        <w:rPr>
          <w:rFonts w:ascii="仿宋_GB2312" w:hAnsi="宋体" w:eastAsia="仿宋_GB2312" w:cs="宋体"/>
          <w:kern w:val="0"/>
          <w:sz w:val="32"/>
          <w:szCs w:val="32"/>
        </w:rPr>
        <w:t>01</w:t>
      </w:r>
      <w:r>
        <w:rPr>
          <w:rFonts w:hint="eastAsia" w:ascii="仿宋_GB2312" w:hAnsi="宋体" w:eastAsia="仿宋_GB2312" w:cs="宋体"/>
          <w:kern w:val="0"/>
          <w:sz w:val="32"/>
          <w:szCs w:val="32"/>
        </w:rPr>
        <w:t>一般公共服务支出177.35万元，</w:t>
      </w:r>
      <w:r>
        <w:rPr>
          <w:rFonts w:ascii="仿宋_GB2312" w:hAnsi="宋体" w:eastAsia="仿宋_GB2312" w:cs="宋体"/>
          <w:spacing w:val="-6"/>
          <w:kern w:val="0"/>
          <w:sz w:val="32"/>
          <w:szCs w:val="32"/>
        </w:rPr>
        <w:t>主要用于保障机关正常运行的人员经费、公用经费和项目经费</w:t>
      </w:r>
      <w:r>
        <w:rPr>
          <w:rFonts w:hint="eastAsia" w:ascii="仿宋_GB2312" w:hAnsi="宋体" w:eastAsia="仿宋_GB2312" w:cs="宋体"/>
          <w:spacing w:val="-6"/>
          <w:kern w:val="0"/>
          <w:sz w:val="32"/>
          <w:szCs w:val="32"/>
        </w:rPr>
        <w:t>。</w:t>
      </w:r>
      <w:r>
        <w:rPr>
          <w:rFonts w:hint="eastAsia" w:ascii="仿宋_GB2312" w:hAnsi="宋体" w:eastAsia="仿宋_GB2312" w:cs="宋体"/>
          <w:sz w:val="32"/>
          <w:szCs w:val="32"/>
        </w:rPr>
        <w:t>2</w:t>
      </w:r>
      <w:r>
        <w:rPr>
          <w:rFonts w:ascii="仿宋_GB2312" w:hAnsi="宋体" w:eastAsia="仿宋_GB2312" w:cs="宋体"/>
          <w:sz w:val="32"/>
          <w:szCs w:val="32"/>
        </w:rPr>
        <w:t>08</w:t>
      </w:r>
      <w:r>
        <w:rPr>
          <w:rFonts w:hint="eastAsia" w:ascii="仿宋_GB2312" w:hAnsi="宋体" w:eastAsia="仿宋_GB2312" w:cs="宋体"/>
          <w:sz w:val="32"/>
          <w:szCs w:val="32"/>
        </w:rPr>
        <w:t>社会保障和就业支出</w:t>
      </w:r>
      <w:r>
        <w:rPr>
          <w:rFonts w:hint="eastAsia" w:ascii="仿宋_GB2312" w:hAnsi="宋体" w:eastAsia="仿宋_GB2312" w:cs="宋体"/>
          <w:kern w:val="0"/>
          <w:sz w:val="32"/>
          <w:szCs w:val="32"/>
        </w:rPr>
        <w:t>16.19</w:t>
      </w:r>
      <w:r>
        <w:rPr>
          <w:rFonts w:hint="eastAsia" w:ascii="仿宋_GB2312" w:hAnsi="宋体" w:eastAsia="仿宋_GB2312" w:cs="宋体"/>
          <w:sz w:val="32"/>
          <w:szCs w:val="32"/>
        </w:rPr>
        <w:t>万元，主要用于缴纳养老保险、医疗保险等。2</w:t>
      </w:r>
      <w:r>
        <w:rPr>
          <w:rFonts w:ascii="仿宋_GB2312" w:hAnsi="宋体" w:eastAsia="仿宋_GB2312" w:cs="宋体"/>
          <w:sz w:val="32"/>
          <w:szCs w:val="32"/>
        </w:rPr>
        <w:t>21</w:t>
      </w:r>
      <w:r>
        <w:rPr>
          <w:rFonts w:hint="eastAsia" w:ascii="仿宋_GB2312" w:hAnsi="宋体" w:eastAsia="仿宋_GB2312" w:cs="宋体"/>
          <w:sz w:val="32"/>
          <w:szCs w:val="32"/>
        </w:rPr>
        <w:t>住房保障支出</w:t>
      </w:r>
      <w:r>
        <w:rPr>
          <w:rFonts w:hint="eastAsia" w:ascii="仿宋_GB2312" w:hAnsi="宋体" w:eastAsia="仿宋_GB2312" w:cs="宋体"/>
          <w:kern w:val="0"/>
          <w:sz w:val="32"/>
          <w:szCs w:val="32"/>
        </w:rPr>
        <w:t>11.84</w:t>
      </w:r>
      <w:r>
        <w:rPr>
          <w:rFonts w:hint="eastAsia" w:ascii="仿宋_GB2312" w:hAnsi="宋体" w:eastAsia="仿宋_GB2312" w:cs="宋体"/>
          <w:sz w:val="32"/>
          <w:szCs w:val="32"/>
        </w:rPr>
        <w:t>万元，主要用于缴纳在职人员住房公积金。</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五、关于</w:t>
      </w:r>
      <w:r>
        <w:rPr>
          <w:rFonts w:hint="eastAsia" w:ascii="黑体" w:hAnsi="黑体" w:eastAsia="黑体" w:cs="宋体"/>
          <w:bCs/>
          <w:kern w:val="0"/>
          <w:sz w:val="32"/>
          <w:szCs w:val="32"/>
        </w:rPr>
        <w:t>中共哈密市伊州区委员会机构编制委员会办公室</w:t>
      </w:r>
      <w:r>
        <w:rPr>
          <w:rFonts w:hint="eastAsia" w:ascii="黑体" w:hAnsi="宋体" w:eastAsia="黑体" w:cs="宋体"/>
          <w:kern w:val="0"/>
          <w:sz w:val="32"/>
          <w:szCs w:val="32"/>
        </w:rPr>
        <w:t>2021年一般公共预算当年拨款情况说明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（一）一般公共预算当年拨款规模变化情况</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kern w:val="0"/>
          <w:sz w:val="32"/>
          <w:szCs w:val="32"/>
        </w:rPr>
        <w:t>中共哈密市伊州区委员会机构编制委员会办公室</w:t>
      </w:r>
      <w:r>
        <w:rPr>
          <w:rFonts w:hint="eastAsia" w:ascii="仿宋_GB2312" w:hAnsi="宋体" w:eastAsia="仿宋_GB2312" w:cs="宋体"/>
          <w:sz w:val="32"/>
          <w:szCs w:val="32"/>
        </w:rPr>
        <w:t>2021年一般公共预算拨款</w:t>
      </w:r>
      <w:r>
        <w:rPr>
          <w:rFonts w:hint="eastAsia" w:ascii="仿宋_GB2312" w:hAnsi="宋体" w:eastAsia="仿宋_GB2312" w:cs="宋体"/>
          <w:kern w:val="0"/>
          <w:sz w:val="32"/>
          <w:szCs w:val="32"/>
        </w:rPr>
        <w:t>共计205.38万元，其中：</w:t>
      </w:r>
      <w:r>
        <w:rPr>
          <w:rFonts w:hint="eastAsia" w:ascii="仿宋_GB2312" w:hAnsi="宋体" w:eastAsia="仿宋_GB2312" w:cs="宋体"/>
          <w:sz w:val="32"/>
          <w:szCs w:val="32"/>
        </w:rPr>
        <w:t>基本支出</w:t>
      </w:r>
      <w:r>
        <w:rPr>
          <w:rFonts w:hint="eastAsia" w:ascii="仿宋_GB2312" w:hAnsi="宋体" w:eastAsia="仿宋_GB2312" w:cs="宋体"/>
          <w:kern w:val="0"/>
          <w:sz w:val="32"/>
          <w:szCs w:val="32"/>
        </w:rPr>
        <w:t>205.38</w:t>
      </w:r>
      <w:r>
        <w:rPr>
          <w:rFonts w:hint="eastAsia" w:ascii="仿宋_GB2312" w:hAnsi="宋体" w:eastAsia="仿宋_GB2312" w:cs="宋体"/>
          <w:sz w:val="32"/>
          <w:szCs w:val="32"/>
        </w:rPr>
        <w:t>万元，比上年预算增加</w:t>
      </w:r>
      <w:r>
        <w:rPr>
          <w:rFonts w:hint="eastAsia" w:ascii="仿宋_GB2312" w:hAnsi="宋体" w:eastAsia="仿宋_GB2312" w:cs="宋体"/>
          <w:kern w:val="0"/>
          <w:sz w:val="32"/>
          <w:szCs w:val="32"/>
        </w:rPr>
        <w:t>6.33</w:t>
      </w:r>
      <w:r>
        <w:rPr>
          <w:rFonts w:hint="eastAsia" w:ascii="仿宋_GB2312" w:hAnsi="宋体" w:eastAsia="仿宋_GB2312" w:cs="宋体"/>
          <w:sz w:val="32"/>
          <w:szCs w:val="32"/>
        </w:rPr>
        <w:t>万元，增长3.18%。主要原因是：人员变动，工作力度增强，公用经费增加</w:t>
      </w:r>
      <w:r>
        <w:rPr>
          <w:rFonts w:hint="eastAsia" w:ascii="仿宋_GB2312" w:hAnsi="宋体" w:eastAsia="仿宋_GB2312" w:cs="宋体"/>
          <w:spacing w:val="-6"/>
          <w:kern w:val="0"/>
          <w:sz w:val="32"/>
          <w:szCs w:val="32"/>
        </w:rPr>
        <w:t>；</w:t>
      </w:r>
      <w:r>
        <w:rPr>
          <w:rFonts w:ascii="仿宋_GB2312" w:hAnsi="宋体" w:eastAsia="仿宋_GB2312" w:cs="宋体"/>
          <w:spacing w:val="-6"/>
          <w:kern w:val="0"/>
          <w:sz w:val="32"/>
          <w:szCs w:val="32"/>
        </w:rPr>
        <w:t>项目支出0.00万元，比上年预算增加0.00万元，增长0.00%，主要原因是：本年未安排一般公共预算</w:t>
      </w:r>
      <w:r>
        <w:rPr>
          <w:rFonts w:hint="eastAsia" w:ascii="仿宋_GB2312" w:hAnsi="宋体" w:eastAsia="仿宋_GB2312" w:cs="宋体"/>
          <w:spacing w:val="-6"/>
          <w:kern w:val="0"/>
          <w:sz w:val="32"/>
          <w:szCs w:val="32"/>
        </w:rPr>
        <w:t>项</w:t>
      </w:r>
      <w:r>
        <w:rPr>
          <w:rFonts w:ascii="仿宋_GB2312" w:hAnsi="宋体" w:eastAsia="仿宋_GB2312" w:cs="宋体"/>
          <w:spacing w:val="-6"/>
          <w:kern w:val="0"/>
          <w:sz w:val="32"/>
          <w:szCs w:val="32"/>
        </w:rPr>
        <w:t>目支出预算。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1、一般公共服务支出（201类）</w:t>
      </w:r>
      <w:r>
        <w:rPr>
          <w:rFonts w:hint="eastAsia" w:ascii="仿宋_GB2312" w:hAnsi="宋体" w:eastAsia="仿宋_GB2312" w:cs="宋体"/>
          <w:kern w:val="0"/>
          <w:sz w:val="32"/>
          <w:szCs w:val="32"/>
        </w:rPr>
        <w:t>177.35万元，占86.35%。</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w:t>
      </w:r>
      <w:r>
        <w:rPr>
          <w:rFonts w:hint="eastAsia" w:ascii="仿宋_GB2312" w:eastAsia="仿宋_GB2312"/>
          <w:sz w:val="32"/>
          <w:szCs w:val="32"/>
        </w:rPr>
        <w:t>（</w:t>
      </w:r>
      <w:r>
        <w:rPr>
          <w:rFonts w:hint="eastAsia" w:ascii="仿宋_GB2312" w:hAnsi="宋体" w:eastAsia="仿宋_GB2312" w:cs="宋体"/>
          <w:sz w:val="32"/>
          <w:szCs w:val="32"/>
        </w:rPr>
        <w:t>208</w:t>
      </w:r>
      <w:r>
        <w:rPr>
          <w:rFonts w:hint="eastAsia" w:ascii="仿宋_GB2312" w:eastAsia="仿宋_GB2312"/>
          <w:sz w:val="32"/>
          <w:szCs w:val="32"/>
        </w:rPr>
        <w:t>类）</w:t>
      </w:r>
      <w:r>
        <w:rPr>
          <w:rFonts w:hint="eastAsia" w:ascii="仿宋_GB2312" w:hAnsi="宋体" w:eastAsia="仿宋_GB2312" w:cs="宋体"/>
          <w:kern w:val="0"/>
          <w:sz w:val="32"/>
          <w:szCs w:val="32"/>
        </w:rPr>
        <w:t>16.19万元，占7.88%。</w:t>
      </w:r>
    </w:p>
    <w:p>
      <w:pPr>
        <w:spacing w:line="55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3、住房保障支出</w:t>
      </w:r>
      <w:r>
        <w:rPr>
          <w:rFonts w:hint="eastAsia" w:ascii="仿宋_GB2312" w:eastAsia="仿宋_GB2312"/>
          <w:sz w:val="32"/>
          <w:szCs w:val="32"/>
        </w:rPr>
        <w:t>（</w:t>
      </w:r>
      <w:r>
        <w:rPr>
          <w:rFonts w:hint="eastAsia" w:ascii="仿宋_GB2312" w:hAnsi="宋体" w:eastAsia="仿宋_GB2312" w:cs="宋体"/>
          <w:sz w:val="32"/>
          <w:szCs w:val="32"/>
        </w:rPr>
        <w:t>221</w:t>
      </w:r>
      <w:r>
        <w:rPr>
          <w:rFonts w:hint="eastAsia" w:ascii="仿宋_GB2312" w:eastAsia="仿宋_GB2312"/>
          <w:sz w:val="32"/>
          <w:szCs w:val="32"/>
        </w:rPr>
        <w:t>类）</w:t>
      </w:r>
      <w:r>
        <w:rPr>
          <w:rFonts w:hint="eastAsia" w:ascii="仿宋_GB2312" w:hAnsi="宋体" w:eastAsia="仿宋_GB2312" w:cs="宋体"/>
          <w:kern w:val="0"/>
          <w:sz w:val="32"/>
          <w:szCs w:val="32"/>
        </w:rPr>
        <w:t>11.84万元，占5.7</w:t>
      </w:r>
      <w:r>
        <w:rPr>
          <w:rFonts w:ascii="仿宋_GB2312" w:hAnsi="宋体" w:eastAsia="仿宋_GB2312" w:cs="宋体"/>
          <w:kern w:val="0"/>
          <w:sz w:val="32"/>
          <w:szCs w:val="32"/>
        </w:rPr>
        <w:t>7</w:t>
      </w:r>
      <w:r>
        <w:rPr>
          <w:rFonts w:hint="eastAsia" w:ascii="仿宋_GB2312" w:hAnsi="宋体" w:eastAsia="仿宋_GB2312" w:cs="宋体"/>
          <w:kern w:val="0"/>
          <w:sz w:val="32"/>
          <w:szCs w:val="32"/>
        </w:rPr>
        <w:t>%</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spacing w:line="580" w:lineRule="exact"/>
        <w:ind w:firstLine="640"/>
        <w:rPr>
          <w:rFonts w:ascii="仿宋_GB2312" w:hAnsi="宋体" w:eastAsia="仿宋_GB2312" w:cs="宋体"/>
          <w:sz w:val="32"/>
          <w:szCs w:val="32"/>
          <w:highlight w:val="yellow"/>
        </w:rPr>
      </w:pPr>
      <w:r>
        <w:rPr>
          <w:rFonts w:hint="eastAsia" w:ascii="仿宋_GB2312" w:hAnsi="宋体" w:eastAsia="仿宋_GB2312" w:cs="宋体"/>
          <w:sz w:val="32"/>
          <w:szCs w:val="32"/>
        </w:rPr>
        <w:t>1.</w:t>
      </w:r>
      <w:r>
        <w:rPr>
          <w:rFonts w:ascii="仿宋_GB2312" w:hAnsi="宋体" w:eastAsia="仿宋_GB2312" w:cs="宋体"/>
          <w:sz w:val="32"/>
          <w:szCs w:val="32"/>
        </w:rPr>
        <w:t>一般公共服务</w:t>
      </w:r>
      <w:r>
        <w:rPr>
          <w:rFonts w:hint="eastAsia" w:ascii="仿宋_GB2312" w:hAnsi="宋体" w:eastAsia="仿宋_GB2312" w:cs="宋体"/>
          <w:sz w:val="32"/>
          <w:szCs w:val="32"/>
        </w:rPr>
        <w:t>支出</w:t>
      </w:r>
      <w:r>
        <w:rPr>
          <w:rFonts w:ascii="仿宋_GB2312" w:hAnsi="宋体" w:eastAsia="仿宋_GB2312" w:cs="宋体"/>
          <w:sz w:val="32"/>
          <w:szCs w:val="32"/>
        </w:rPr>
        <w:t>（</w:t>
      </w:r>
      <w:r>
        <w:rPr>
          <w:rFonts w:hint="eastAsia" w:ascii="仿宋_GB2312" w:hAnsi="宋体" w:eastAsia="仿宋_GB2312" w:cs="宋体"/>
          <w:sz w:val="32"/>
          <w:szCs w:val="32"/>
        </w:rPr>
        <w:t>201</w:t>
      </w:r>
      <w:r>
        <w:rPr>
          <w:rFonts w:ascii="仿宋_GB2312" w:hAnsi="宋体" w:eastAsia="仿宋_GB2312" w:cs="宋体"/>
          <w:sz w:val="32"/>
          <w:szCs w:val="32"/>
        </w:rPr>
        <w:t>类）</w:t>
      </w:r>
      <w:r>
        <w:rPr>
          <w:rFonts w:hint="eastAsia" w:ascii="仿宋_GB2312" w:hAnsi="宋体" w:eastAsia="仿宋_GB2312" w:cs="宋体"/>
          <w:sz w:val="32"/>
          <w:szCs w:val="32"/>
        </w:rPr>
        <w:t>政府办公厅（室）及相关机构事务</w:t>
      </w:r>
      <w:r>
        <w:rPr>
          <w:rFonts w:hint="eastAsia" w:ascii="仿宋" w:hAnsi="仿宋" w:eastAsia="仿宋" w:cs="仿宋"/>
          <w:kern w:val="0"/>
          <w:sz w:val="32"/>
          <w:szCs w:val="32"/>
        </w:rPr>
        <w:t>（03款）行政运行（01项）</w:t>
      </w:r>
      <w:r>
        <w:rPr>
          <w:rFonts w:ascii="仿宋_GB2312" w:hAnsi="宋体" w:eastAsia="仿宋_GB2312" w:cs="宋体"/>
          <w:sz w:val="32"/>
          <w:szCs w:val="32"/>
        </w:rPr>
        <w:t>:</w:t>
      </w:r>
      <w:r>
        <w:rPr>
          <w:rFonts w:hint="eastAsia" w:ascii="仿宋_GB2312" w:hAnsi="宋体" w:eastAsia="仿宋_GB2312" w:cs="宋体"/>
          <w:sz w:val="32"/>
          <w:szCs w:val="32"/>
        </w:rPr>
        <w:t>2021</w:t>
      </w:r>
      <w:r>
        <w:rPr>
          <w:rFonts w:ascii="仿宋_GB2312" w:hAnsi="宋体" w:eastAsia="仿宋_GB2312" w:cs="宋体"/>
          <w:sz w:val="32"/>
          <w:szCs w:val="32"/>
        </w:rPr>
        <w:t>年预算数为</w:t>
      </w:r>
      <w:r>
        <w:rPr>
          <w:rFonts w:hint="eastAsia" w:ascii="仿宋_GB2312" w:hAnsi="宋体" w:eastAsia="仿宋_GB2312" w:cs="宋体"/>
          <w:kern w:val="0"/>
          <w:sz w:val="32"/>
          <w:szCs w:val="32"/>
        </w:rPr>
        <w:t>177.35</w:t>
      </w:r>
      <w:r>
        <w:rPr>
          <w:rFonts w:ascii="仿宋_GB2312" w:hAnsi="宋体" w:eastAsia="仿宋_GB2312" w:cs="宋体"/>
          <w:sz w:val="32"/>
          <w:szCs w:val="32"/>
        </w:rPr>
        <w:t>万元，</w:t>
      </w:r>
      <w:r>
        <w:rPr>
          <w:rFonts w:hint="eastAsia" w:ascii="仿宋_GB2312" w:hAnsi="宋体" w:eastAsia="仿宋_GB2312" w:cs="宋体"/>
          <w:sz w:val="32"/>
          <w:szCs w:val="32"/>
        </w:rPr>
        <w:t>比上年预算增加13.04万元，增长7.94%，主要原因是：人员变动，工作力度增强，公用经费增加。</w:t>
      </w:r>
    </w:p>
    <w:p>
      <w:pPr>
        <w:spacing w:line="55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2.社会保障和就业支出（208类）行政事业单位离退休（05款）机关事业单位基本养老保险（05项）</w:t>
      </w:r>
      <w:r>
        <w:rPr>
          <w:rFonts w:ascii="仿宋_GB2312" w:hAnsi="宋体" w:eastAsia="仿宋_GB2312" w:cs="宋体"/>
          <w:sz w:val="32"/>
          <w:szCs w:val="32"/>
        </w:rPr>
        <w:t>:</w:t>
      </w:r>
      <w:r>
        <w:rPr>
          <w:rFonts w:hint="eastAsia" w:ascii="仿宋_GB2312" w:hAnsi="宋体" w:eastAsia="仿宋_GB2312" w:cs="宋体"/>
          <w:sz w:val="32"/>
          <w:szCs w:val="32"/>
        </w:rPr>
        <w:t>2021</w:t>
      </w:r>
      <w:r>
        <w:rPr>
          <w:rFonts w:ascii="仿宋_GB2312" w:hAnsi="宋体" w:eastAsia="仿宋_GB2312" w:cs="宋体"/>
          <w:sz w:val="32"/>
          <w:szCs w:val="32"/>
        </w:rPr>
        <w:t>年</w:t>
      </w:r>
      <w:r>
        <w:rPr>
          <w:rFonts w:hint="eastAsia" w:ascii="仿宋" w:hAnsi="仿宋" w:eastAsia="仿宋" w:cs="仿宋"/>
          <w:kern w:val="0"/>
          <w:sz w:val="32"/>
          <w:szCs w:val="32"/>
        </w:rPr>
        <w:t>预算数为</w:t>
      </w:r>
      <w:r>
        <w:rPr>
          <w:rFonts w:hint="eastAsia" w:ascii="仿宋_GB2312" w:hAnsi="宋体" w:eastAsia="仿宋_GB2312" w:cs="宋体"/>
          <w:kern w:val="0"/>
          <w:sz w:val="32"/>
          <w:szCs w:val="32"/>
        </w:rPr>
        <w:t>16.19</w:t>
      </w:r>
      <w:r>
        <w:rPr>
          <w:rFonts w:hint="eastAsia" w:ascii="仿宋" w:hAnsi="仿宋" w:eastAsia="仿宋" w:cs="仿宋"/>
          <w:kern w:val="0"/>
          <w:sz w:val="32"/>
          <w:szCs w:val="32"/>
        </w:rPr>
        <w:t>万元；比上年预算减少8.17万元，下降33.54%，主要原因是：养老保险基数有调整。</w:t>
      </w:r>
    </w:p>
    <w:p>
      <w:pPr>
        <w:spacing w:line="550" w:lineRule="exact"/>
        <w:ind w:firstLine="640" w:firstLineChars="200"/>
        <w:rPr>
          <w:rFonts w:ascii="仿宋_GB2312" w:hAnsi="宋体" w:eastAsia="仿宋_GB2312" w:cs="宋体"/>
          <w:b/>
          <w:kern w:val="0"/>
          <w:sz w:val="32"/>
          <w:szCs w:val="32"/>
        </w:rPr>
      </w:pPr>
      <w:r>
        <w:rPr>
          <w:rFonts w:hint="eastAsia" w:ascii="仿宋" w:hAnsi="仿宋" w:eastAsia="仿宋" w:cs="仿宋"/>
          <w:kern w:val="0"/>
          <w:sz w:val="32"/>
          <w:szCs w:val="32"/>
        </w:rPr>
        <w:t>3.住房保障支出（221类）住房改革支出（02款）住房公积金（01项）</w:t>
      </w:r>
      <w:r>
        <w:rPr>
          <w:rFonts w:ascii="仿宋_GB2312" w:hAnsi="宋体" w:eastAsia="仿宋_GB2312" w:cs="宋体"/>
          <w:sz w:val="32"/>
          <w:szCs w:val="32"/>
        </w:rPr>
        <w:t>:</w:t>
      </w:r>
      <w:r>
        <w:rPr>
          <w:rFonts w:hint="eastAsia" w:ascii="仿宋_GB2312" w:hAnsi="宋体" w:eastAsia="仿宋_GB2312" w:cs="宋体"/>
          <w:sz w:val="32"/>
          <w:szCs w:val="32"/>
        </w:rPr>
        <w:t>2021</w:t>
      </w:r>
      <w:r>
        <w:rPr>
          <w:rFonts w:ascii="仿宋_GB2312" w:hAnsi="宋体" w:eastAsia="仿宋_GB2312" w:cs="宋体"/>
          <w:sz w:val="32"/>
          <w:szCs w:val="32"/>
        </w:rPr>
        <w:t>年</w:t>
      </w:r>
      <w:r>
        <w:rPr>
          <w:rFonts w:hint="eastAsia" w:ascii="仿宋" w:hAnsi="仿宋" w:eastAsia="仿宋" w:cs="仿宋"/>
          <w:kern w:val="0"/>
          <w:sz w:val="32"/>
          <w:szCs w:val="32"/>
        </w:rPr>
        <w:t>预算数为</w:t>
      </w:r>
      <w:r>
        <w:rPr>
          <w:rFonts w:hint="eastAsia" w:ascii="仿宋_GB2312" w:hAnsi="宋体" w:eastAsia="仿宋_GB2312" w:cs="宋体"/>
          <w:kern w:val="0"/>
          <w:sz w:val="32"/>
          <w:szCs w:val="32"/>
        </w:rPr>
        <w:t>11.84</w:t>
      </w:r>
      <w:r>
        <w:rPr>
          <w:rFonts w:hint="eastAsia" w:ascii="仿宋" w:hAnsi="仿宋" w:eastAsia="仿宋" w:cs="仿宋"/>
          <w:kern w:val="0"/>
          <w:sz w:val="32"/>
          <w:szCs w:val="32"/>
        </w:rPr>
        <w:t>万元。比上年预算增加1.46万元，增长14.07%，主要原因是：住房公积金基数有调整。</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六、关于</w:t>
      </w:r>
      <w:r>
        <w:rPr>
          <w:rFonts w:hint="eastAsia" w:ascii="黑体" w:hAnsi="黑体" w:eastAsia="黑体" w:cs="宋体"/>
          <w:bCs/>
          <w:kern w:val="0"/>
          <w:sz w:val="32"/>
          <w:szCs w:val="32"/>
        </w:rPr>
        <w:t>中共哈密市伊州区委员会机构编制委员会办公室</w:t>
      </w:r>
      <w:r>
        <w:rPr>
          <w:rFonts w:hint="eastAsia" w:ascii="黑体" w:hAnsi="宋体" w:eastAsia="黑体" w:cs="宋体"/>
          <w:kern w:val="0"/>
          <w:sz w:val="32"/>
          <w:szCs w:val="32"/>
        </w:rPr>
        <w:t>2021年一般公共预算基本支出情况说明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中共哈密市伊州区委员会机构编制委员会办公室2021年一般公共预算基本支出205.38万元，其中：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人员经费190.8</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万元，主要包括：基本工资、津贴补贴、奖金、机关事业单位基本养老保险缴费、职工基本医疗保险缴费、其他社会保障缴费、住房公积金、其他工资福利支出、退休费、生活补助等。</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公用经费14.58万元，主要包括：办公费、邮电费、差旅费、工会经费、福利费、公务用车运行维护费等。</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七、关于</w:t>
      </w:r>
      <w:r>
        <w:rPr>
          <w:rFonts w:hint="eastAsia" w:ascii="黑体" w:hAnsi="黑体" w:eastAsia="黑体" w:cs="宋体"/>
          <w:bCs/>
          <w:kern w:val="0"/>
          <w:sz w:val="32"/>
          <w:szCs w:val="32"/>
        </w:rPr>
        <w:t>中共哈密市伊州区委员会机构编制委员会办公室</w:t>
      </w:r>
      <w:r>
        <w:rPr>
          <w:rFonts w:hint="eastAsia" w:ascii="黑体" w:hAnsi="宋体" w:eastAsia="黑体" w:cs="宋体"/>
          <w:kern w:val="0"/>
          <w:sz w:val="32"/>
          <w:szCs w:val="32"/>
        </w:rPr>
        <w:t>2021年一般公共预算项目支出情况说明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中共哈密市伊州区委员会机构编制委员会办公室2021年无项目支出。</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八、关于</w:t>
      </w:r>
      <w:r>
        <w:rPr>
          <w:rFonts w:hint="eastAsia" w:ascii="黑体" w:hAnsi="黑体" w:eastAsia="黑体" w:cs="宋体"/>
          <w:bCs/>
          <w:kern w:val="0"/>
          <w:sz w:val="32"/>
          <w:szCs w:val="32"/>
        </w:rPr>
        <w:t>中共哈密市伊州区委员会机构编制委员会办公室</w:t>
      </w:r>
      <w:r>
        <w:rPr>
          <w:rFonts w:hint="eastAsia" w:ascii="黑体" w:hAnsi="宋体" w:eastAsia="黑体" w:cs="宋体"/>
          <w:kern w:val="0"/>
          <w:sz w:val="32"/>
          <w:szCs w:val="32"/>
        </w:rPr>
        <w:t>2021年一般公共预算“三公”经费预算情况说明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中共哈密市伊州区委员会机构编制委员会办公室2021年一般公共预算“三公”经费数为1.16万元，其中：因公出国（境）费0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万元，公务用车购置0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万元，公务用车运行费1.16万元，公务接待费0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2021年一般公共预算“三公”经费比上年增加0</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万元，其中：因公出国（境）费增加0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万元，主要原因是未安排预算；公务用车购置费为0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万元，主要原因是未安排预算；公务用车运行费增加0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万元，主要原因是与上年相比本年无变化；公务接待费增加0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万元，主要原因是未安排预算。</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九、关于</w:t>
      </w:r>
      <w:r>
        <w:rPr>
          <w:rFonts w:hint="eastAsia" w:ascii="黑体" w:hAnsi="黑体" w:eastAsia="黑体" w:cs="宋体"/>
          <w:bCs/>
          <w:kern w:val="0"/>
          <w:sz w:val="32"/>
          <w:szCs w:val="32"/>
        </w:rPr>
        <w:t>中共哈密市伊州区委员会机构编制委员会办公室</w:t>
      </w:r>
      <w:r>
        <w:rPr>
          <w:rFonts w:hint="eastAsia" w:ascii="黑体" w:hAnsi="宋体" w:eastAsia="黑体" w:cs="宋体"/>
          <w:kern w:val="0"/>
          <w:sz w:val="32"/>
          <w:szCs w:val="32"/>
        </w:rPr>
        <w:t>2021年政府性基金预算拨款情况说明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中共哈密市伊州区委员会机构编制委员会办公室2021年没有使用政府性基金预算拨款安排的支出，政府性基金预算支出情况表为空表。</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2021年，中共哈密市伊州区委员会机构编制委员会办公室的机关运行经费财政拨款预算</w:t>
      </w:r>
      <w:r>
        <w:rPr>
          <w:rFonts w:ascii="仿宋_GB2312" w:hAnsi="宋体" w:eastAsia="仿宋_GB2312" w:cs="宋体"/>
          <w:kern w:val="0"/>
          <w:sz w:val="32"/>
          <w:szCs w:val="32"/>
        </w:rPr>
        <w:t>14.58</w:t>
      </w:r>
      <w:r>
        <w:rPr>
          <w:rFonts w:hint="eastAsia" w:ascii="仿宋_GB2312" w:hAnsi="宋体" w:eastAsia="仿宋_GB2312" w:cs="宋体"/>
          <w:kern w:val="0"/>
          <w:sz w:val="32"/>
          <w:szCs w:val="32"/>
        </w:rPr>
        <w:t>万元，增长3.18%。主要原因是：人均办公经费增加。</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2021年，中共哈密市伊州区委员会机构编制委员会办公室及下属单位政府采购预算0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万元，其中：政府采购货物预算0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万元，政府采购工程预算0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万元，政府采购服务预算0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2021年度本部门面向中小企业预留政府采购项目预算金额0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万元，其中：面向小微企业预留政府采购项目预算金额0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w:t>
      </w:r>
      <w:r>
        <w:rPr>
          <w:rFonts w:ascii="仿宋_GB2312" w:hAnsi="宋体" w:eastAsia="仿宋_GB2312" w:cs="宋体"/>
          <w:kern w:val="0"/>
          <w:sz w:val="32"/>
          <w:szCs w:val="32"/>
        </w:rPr>
        <w:t>0</w:t>
      </w:r>
      <w:r>
        <w:rPr>
          <w:rFonts w:hint="eastAsia" w:ascii="仿宋_GB2312" w:hAnsi="宋体" w:eastAsia="仿宋_GB2312" w:cs="宋体"/>
          <w:kern w:val="0"/>
          <w:sz w:val="32"/>
          <w:szCs w:val="32"/>
        </w:rPr>
        <w:t>年底，中共哈密市伊州区委员会机构编制委员会办公室及下属各预算单位占用使用国有资产总体情况为</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w:t>
      </w:r>
      <w:r>
        <w:rPr>
          <w:rFonts w:ascii="仿宋_GB2312" w:hAnsi="宋体" w:eastAsia="仿宋_GB2312" w:cs="宋体"/>
          <w:kern w:val="0"/>
          <w:sz w:val="32"/>
          <w:szCs w:val="32"/>
        </w:rPr>
        <w:t>.00</w:t>
      </w:r>
      <w:r>
        <w:rPr>
          <w:rFonts w:hint="eastAsia" w:ascii="仿宋_GB2312" w:hAnsi="宋体" w:eastAsia="仿宋_GB2312" w:cs="宋体"/>
          <w:kern w:val="0"/>
          <w:sz w:val="32"/>
          <w:szCs w:val="32"/>
        </w:rPr>
        <w:t>平方米，价值0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2.车辆1辆，价值12.48万元；其中：一般公务用车1辆，价值12.48万元；执法执勤用车0辆，价值0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万元；其他车辆0辆，价值0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3.办公家具价值5.67万元。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2021年部门预算未安排购置车辆经费，安排购置50万元以上大型设备0台（套），单位价值100万元以上大型设备0台（套）。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2021年度，本年度实行绩效管理的一般公共预算项目0个，涉及预算金额0</w:t>
      </w:r>
      <w:r>
        <w:rPr>
          <w:rFonts w:ascii="仿宋_GB2312" w:hAnsi="宋体" w:eastAsia="仿宋_GB2312" w:cs="宋体"/>
          <w:kern w:val="0"/>
          <w:sz w:val="32"/>
          <w:szCs w:val="32"/>
        </w:rPr>
        <w:t>.00</w:t>
      </w:r>
      <w:r>
        <w:rPr>
          <w:rFonts w:hint="eastAsia" w:ascii="仿宋_GB2312" w:hAnsi="宋体" w:eastAsia="仿宋_GB2312" w:cs="宋体"/>
          <w:kern w:val="0"/>
          <w:sz w:val="32"/>
          <w:szCs w:val="32"/>
        </w:rPr>
        <w:t>万元。具体情况见下表（按项目分别填报）：</w:t>
      </w:r>
    </w:p>
    <w:p>
      <w:pPr>
        <w:spacing w:line="56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4"/>
        <w:tblW w:w="8815" w:type="dxa"/>
        <w:tblInd w:w="0" w:type="dxa"/>
        <w:tblLayout w:type="fixed"/>
        <w:tblCellMar>
          <w:top w:w="0" w:type="dxa"/>
          <w:left w:w="0" w:type="dxa"/>
          <w:bottom w:w="0" w:type="dxa"/>
          <w:right w:w="0" w:type="dxa"/>
        </w:tblCellMar>
      </w:tblPr>
      <w:tblGrid>
        <w:gridCol w:w="960"/>
        <w:gridCol w:w="1452"/>
        <w:gridCol w:w="1224"/>
        <w:gridCol w:w="1476"/>
        <w:gridCol w:w="1039"/>
        <w:gridCol w:w="1481"/>
        <w:gridCol w:w="1183"/>
      </w:tblGrid>
      <w:tr>
        <w:tblPrEx>
          <w:tblLayout w:type="fixed"/>
          <w:tblCellMar>
            <w:top w:w="0" w:type="dxa"/>
            <w:left w:w="0" w:type="dxa"/>
            <w:bottom w:w="0" w:type="dxa"/>
            <w:right w:w="0" w:type="dxa"/>
          </w:tblCellMar>
        </w:tblPrEx>
        <w:trPr>
          <w:trHeight w:val="4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Layout w:type="fixed"/>
          <w:tblCellMar>
            <w:top w:w="0" w:type="dxa"/>
            <w:left w:w="0" w:type="dxa"/>
            <w:bottom w:w="0" w:type="dxa"/>
            <w:right w:w="0" w:type="dxa"/>
          </w:tblCellMar>
        </w:tblPrEx>
        <w:trPr>
          <w:trHeight w:val="3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宋体" w:hAnsi="宋体" w:cs="宋体"/>
                <w:color w:val="000000"/>
                <w:sz w:val="22"/>
              </w:rPr>
            </w:pPr>
            <w:r>
              <w:rPr>
                <w:rFonts w:hint="eastAsia" w:ascii="宋体" w:hAnsi="宋体" w:cs="宋体"/>
                <w:color w:val="000000"/>
                <w:kern w:val="0"/>
                <w:sz w:val="22"/>
                <w:lang w:bidi="ar"/>
              </w:rPr>
              <w:t>（2021年）</w:t>
            </w:r>
          </w:p>
        </w:tc>
      </w:tr>
      <w:tr>
        <w:tblPrEx>
          <w:tblLayout w:type="fixed"/>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预算单位</w:t>
            </w:r>
          </w:p>
        </w:tc>
        <w:tc>
          <w:tcPr>
            <w:tcW w:w="4152" w:type="dxa"/>
            <w:gridSpan w:val="3"/>
            <w:tcBorders>
              <w:top w:val="single" w:color="000000" w:sz="4" w:space="0"/>
              <w:left w:val="single" w:color="000000" w:sz="4" w:space="0"/>
              <w:bottom w:val="single" w:color="000000" w:sz="4" w:space="0"/>
              <w:right w:val="nil"/>
            </w:tcBorders>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 xml:space="preserve"> 中共哈密市伊州区委员会机构编制委员会办公室                                 </w:t>
            </w:r>
          </w:p>
        </w:tc>
        <w:tc>
          <w:tcPr>
            <w:tcW w:w="10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项目名称</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项目资金（万元）</w:t>
            </w:r>
          </w:p>
        </w:tc>
        <w:tc>
          <w:tcPr>
            <w:tcW w:w="14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22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c>
          <w:tcPr>
            <w:tcW w:w="14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c>
          <w:tcPr>
            <w:tcW w:w="1481" w:type="dxa"/>
            <w:tcBorders>
              <w:top w:val="nil"/>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1183" w:type="dxa"/>
            <w:tcBorders>
              <w:top w:val="nil"/>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项目总体目标</w:t>
            </w:r>
          </w:p>
        </w:tc>
        <w:tc>
          <w:tcPr>
            <w:tcW w:w="7855" w:type="dxa"/>
            <w:gridSpan w:val="6"/>
            <w:tcBorders>
              <w:top w:val="single" w:color="000000" w:sz="4" w:space="0"/>
              <w:left w:val="single" w:color="000000" w:sz="4" w:space="0"/>
              <w:bottom w:val="single" w:color="000000" w:sz="4" w:space="0"/>
              <w:right w:val="single" w:color="000000" w:sz="4" w:space="0"/>
            </w:tcBorders>
            <w:tcMar>
              <w:top w:w="12" w:type="dxa"/>
              <w:left w:w="12" w:type="dxa"/>
              <w:right w:w="12" w:type="dxa"/>
            </w:tcMa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一级指标</w:t>
            </w:r>
          </w:p>
        </w:tc>
        <w:tc>
          <w:tcPr>
            <w:tcW w:w="14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二级指标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三级指标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指标值（包含数字及文字描述）</w:t>
            </w:r>
          </w:p>
        </w:tc>
      </w:tr>
      <w:tr>
        <w:tblPrEx>
          <w:tblLayout w:type="fixed"/>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bl>
    <w:p>
      <w:pPr>
        <w:widowControl/>
        <w:spacing w:line="48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720" w:num="1"/>
          <w:docGrid w:type="lines" w:linePitch="312" w:charSpace="0"/>
        </w:sectPr>
      </w:pPr>
    </w:p>
    <w:p>
      <w:pPr>
        <w:widowControl/>
        <w:spacing w:line="480" w:lineRule="exact"/>
        <w:ind w:firstLine="630" w:firstLineChars="196"/>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无。</w:t>
      </w:r>
    </w:p>
    <w:p>
      <w:pPr>
        <w:widowControl/>
        <w:spacing w:line="520" w:lineRule="exact"/>
        <w:jc w:val="left"/>
        <w:rPr>
          <w:rFonts w:ascii="仿宋_GB2312" w:hAnsi="宋体" w:eastAsia="仿宋_GB2312" w:cs="宋体"/>
          <w:kern w:val="0"/>
          <w:sz w:val="32"/>
          <w:szCs w:val="32"/>
        </w:rPr>
      </w:pPr>
    </w:p>
    <w:p>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before="156"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2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pacing w:val="-6"/>
          <w:sz w:val="32"/>
          <w:szCs w:val="32"/>
        </w:rPr>
        <w:t>包括公共财政拨款（补助）资金、专项收入。</w:t>
      </w:r>
    </w:p>
    <w:p>
      <w:pPr>
        <w:spacing w:line="520" w:lineRule="exact"/>
        <w:ind w:firstLine="642"/>
        <w:rPr>
          <w:rFonts w:ascii="仿宋_GB2312" w:eastAsia="仿宋_GB2312"/>
          <w:sz w:val="32"/>
          <w:szCs w:val="32"/>
        </w:rPr>
      </w:pPr>
      <w:r>
        <w:rPr>
          <w:rFonts w:hint="eastAsia" w:ascii="黑体" w:hAnsi="黑体" w:eastAsia="黑体"/>
          <w:sz w:val="32"/>
          <w:szCs w:val="32"/>
        </w:rPr>
        <w:t>三、基本支出：</w:t>
      </w:r>
      <w:r>
        <w:rPr>
          <w:rFonts w:hint="eastAsia" w:ascii="仿宋_GB2312" w:eastAsia="仿宋_GB2312"/>
          <w:sz w:val="32"/>
          <w:szCs w:val="32"/>
        </w:rPr>
        <w:t>包括人员经费、商品和服务支出（定额）。其中，人员经费包括工资福利支出、对个人和家庭的补助。</w:t>
      </w:r>
    </w:p>
    <w:p>
      <w:pPr>
        <w:spacing w:line="520" w:lineRule="exact"/>
        <w:ind w:firstLine="642"/>
        <w:rPr>
          <w:rFonts w:ascii="仿宋_GB2312" w:eastAsia="仿宋_GB2312"/>
          <w:sz w:val="32"/>
          <w:szCs w:val="32"/>
        </w:rPr>
      </w:pPr>
      <w:r>
        <w:rPr>
          <w:rFonts w:hint="eastAsia" w:ascii="黑体" w:hAnsi="黑体" w:eastAsia="黑体"/>
          <w:sz w:val="32"/>
          <w:szCs w:val="32"/>
        </w:rPr>
        <w:t>四、“三公”经费：</w:t>
      </w:r>
      <w:r>
        <w:rPr>
          <w:rFonts w:hint="eastAsia" w:ascii="仿宋_GB2312" w:eastAsia="仿宋_GB2312"/>
          <w:sz w:val="32"/>
          <w:szCs w:val="32"/>
        </w:rPr>
        <w:t>指伊州区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20" w:lineRule="exact"/>
        <w:ind w:firstLine="642"/>
        <w:rPr>
          <w:rFonts w:ascii="仿宋_GB2312" w:eastAsia="仿宋_GB2312"/>
          <w:sz w:val="32"/>
          <w:szCs w:val="32"/>
        </w:rPr>
      </w:pPr>
      <w:r>
        <w:rPr>
          <w:rFonts w:hint="eastAsia" w:ascii="黑体" w:hAnsi="黑体" w:eastAsia="黑体"/>
          <w:sz w:val="32"/>
          <w:szCs w:val="32"/>
        </w:rPr>
        <w:t>五、机关运行经费：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640"/>
        <w:rPr>
          <w:rFonts w:ascii="仿宋_GB2312" w:eastAsia="仿宋_GB2312"/>
          <w:b/>
          <w:szCs w:val="20"/>
        </w:rPr>
      </w:pPr>
    </w:p>
    <w:p>
      <w:pPr>
        <w:widowControl/>
        <w:spacing w:line="52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中共哈密市伊州区委员会机构编制委员会办公室部门</w:t>
      </w: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2021</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8</w:t>
      </w:r>
      <w:r>
        <w:rPr>
          <w:rFonts w:ascii="仿宋_GB2312" w:hAnsi="宋体" w:eastAsia="仿宋_GB2312" w:cs="宋体"/>
          <w:kern w:val="0"/>
          <w:sz w:val="32"/>
          <w:szCs w:val="32"/>
        </w:rPr>
        <w:t>日</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12 -</w:t>
    </w:r>
    <w:r>
      <w:rPr>
        <w:rFonts w:ascii="宋体" w:hAnsi="宋体" w:eastAsia="宋体"/>
        <w:sz w:val="28"/>
        <w:szCs w:val="28"/>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CBA5C2"/>
    <w:multiLevelType w:val="singleLevel"/>
    <w:tmpl w:val="C8CBA5C2"/>
    <w:lvl w:ilvl="0" w:tentative="0">
      <w:start w:val="1"/>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67F50B05"/>
    <w:rsid w:val="00203B5A"/>
    <w:rsid w:val="00347A82"/>
    <w:rsid w:val="00494B56"/>
    <w:rsid w:val="00494CBD"/>
    <w:rsid w:val="004F117E"/>
    <w:rsid w:val="00592272"/>
    <w:rsid w:val="006D5D33"/>
    <w:rsid w:val="00744628"/>
    <w:rsid w:val="00746923"/>
    <w:rsid w:val="007B3E3C"/>
    <w:rsid w:val="00896EEF"/>
    <w:rsid w:val="0099039D"/>
    <w:rsid w:val="00A511E0"/>
    <w:rsid w:val="00AD7788"/>
    <w:rsid w:val="00B72DB1"/>
    <w:rsid w:val="00C30AB9"/>
    <w:rsid w:val="00C91504"/>
    <w:rsid w:val="00CB4C28"/>
    <w:rsid w:val="00D54435"/>
    <w:rsid w:val="00DD3C23"/>
    <w:rsid w:val="00E13068"/>
    <w:rsid w:val="00EF5A9D"/>
    <w:rsid w:val="00F87962"/>
    <w:rsid w:val="015E247F"/>
    <w:rsid w:val="01944884"/>
    <w:rsid w:val="01FD0D75"/>
    <w:rsid w:val="046909C0"/>
    <w:rsid w:val="048D2B76"/>
    <w:rsid w:val="04DB5AC4"/>
    <w:rsid w:val="050F430A"/>
    <w:rsid w:val="060F1F98"/>
    <w:rsid w:val="07AF02F6"/>
    <w:rsid w:val="0A363B0C"/>
    <w:rsid w:val="0AE01AED"/>
    <w:rsid w:val="0BF7041F"/>
    <w:rsid w:val="0D5343A1"/>
    <w:rsid w:val="0E8817CB"/>
    <w:rsid w:val="107A42D5"/>
    <w:rsid w:val="11FE7A03"/>
    <w:rsid w:val="12B23666"/>
    <w:rsid w:val="13867D7D"/>
    <w:rsid w:val="14A745EC"/>
    <w:rsid w:val="14C36ECE"/>
    <w:rsid w:val="150F775B"/>
    <w:rsid w:val="15A04F2C"/>
    <w:rsid w:val="15B24199"/>
    <w:rsid w:val="175B48F0"/>
    <w:rsid w:val="18D415F2"/>
    <w:rsid w:val="194D3DC1"/>
    <w:rsid w:val="19DA0406"/>
    <w:rsid w:val="19F935F1"/>
    <w:rsid w:val="1A853100"/>
    <w:rsid w:val="1AED3C61"/>
    <w:rsid w:val="1B426F3C"/>
    <w:rsid w:val="1C0C1BDC"/>
    <w:rsid w:val="1D0537A3"/>
    <w:rsid w:val="1D871A33"/>
    <w:rsid w:val="1EC5017F"/>
    <w:rsid w:val="1F0A736F"/>
    <w:rsid w:val="23BB0F03"/>
    <w:rsid w:val="272304AE"/>
    <w:rsid w:val="27CC158E"/>
    <w:rsid w:val="29376918"/>
    <w:rsid w:val="2E013127"/>
    <w:rsid w:val="2F4034BB"/>
    <w:rsid w:val="2F8A465D"/>
    <w:rsid w:val="2FAA5A73"/>
    <w:rsid w:val="313B414E"/>
    <w:rsid w:val="32321C8D"/>
    <w:rsid w:val="33FD5C0E"/>
    <w:rsid w:val="34DE16E5"/>
    <w:rsid w:val="36B0019D"/>
    <w:rsid w:val="37855ED1"/>
    <w:rsid w:val="3966654B"/>
    <w:rsid w:val="3A866010"/>
    <w:rsid w:val="3BC8563A"/>
    <w:rsid w:val="3D542EC6"/>
    <w:rsid w:val="40D06B81"/>
    <w:rsid w:val="40DB487C"/>
    <w:rsid w:val="42F24F2E"/>
    <w:rsid w:val="43595098"/>
    <w:rsid w:val="43B656FA"/>
    <w:rsid w:val="442921DA"/>
    <w:rsid w:val="445D4C22"/>
    <w:rsid w:val="46117DF7"/>
    <w:rsid w:val="46461DBB"/>
    <w:rsid w:val="469F6D5B"/>
    <w:rsid w:val="482B5EAE"/>
    <w:rsid w:val="4A4D5CC3"/>
    <w:rsid w:val="4CE64D02"/>
    <w:rsid w:val="4DD43026"/>
    <w:rsid w:val="4E68414C"/>
    <w:rsid w:val="4EDA3F95"/>
    <w:rsid w:val="4EFE6C10"/>
    <w:rsid w:val="4F481EC9"/>
    <w:rsid w:val="4FAF690B"/>
    <w:rsid w:val="51022D99"/>
    <w:rsid w:val="53876868"/>
    <w:rsid w:val="53923C8D"/>
    <w:rsid w:val="560E2F86"/>
    <w:rsid w:val="56B56945"/>
    <w:rsid w:val="5C113886"/>
    <w:rsid w:val="5C1E0C43"/>
    <w:rsid w:val="5C3E5F75"/>
    <w:rsid w:val="5C4544AA"/>
    <w:rsid w:val="5DAC73C6"/>
    <w:rsid w:val="5DD63A0D"/>
    <w:rsid w:val="614A7D77"/>
    <w:rsid w:val="619C69A0"/>
    <w:rsid w:val="62442466"/>
    <w:rsid w:val="64522243"/>
    <w:rsid w:val="65103B46"/>
    <w:rsid w:val="65904175"/>
    <w:rsid w:val="65D516F6"/>
    <w:rsid w:val="660A38E7"/>
    <w:rsid w:val="67617933"/>
    <w:rsid w:val="67F50B05"/>
    <w:rsid w:val="68525205"/>
    <w:rsid w:val="68601A39"/>
    <w:rsid w:val="686811EF"/>
    <w:rsid w:val="68D54D3B"/>
    <w:rsid w:val="68FB0670"/>
    <w:rsid w:val="69AA1631"/>
    <w:rsid w:val="69D07C89"/>
    <w:rsid w:val="6C95038A"/>
    <w:rsid w:val="6F38353A"/>
    <w:rsid w:val="701C1533"/>
    <w:rsid w:val="73BF6B33"/>
    <w:rsid w:val="73D0236F"/>
    <w:rsid w:val="7443230A"/>
    <w:rsid w:val="750B1385"/>
    <w:rsid w:val="76321CA3"/>
    <w:rsid w:val="77C36F22"/>
    <w:rsid w:val="78320049"/>
    <w:rsid w:val="78571C6C"/>
    <w:rsid w:val="78AF7930"/>
    <w:rsid w:val="78EF372F"/>
    <w:rsid w:val="7DD11A2D"/>
    <w:rsid w:val="7E8B477A"/>
    <w:rsid w:val="7EC06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kern w:val="0"/>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11"/>
    <w:basedOn w:val="5"/>
    <w:qFormat/>
    <w:uiPriority w:val="0"/>
    <w:rPr>
      <w:rFonts w:hint="eastAsia" w:ascii="仿宋" w:hAnsi="仿宋" w:eastAsia="仿宋" w:cs="仿宋"/>
      <w:color w:val="000000"/>
      <w:sz w:val="18"/>
      <w:szCs w:val="18"/>
      <w:u w:val="none"/>
    </w:rPr>
  </w:style>
  <w:style w:type="character" w:customStyle="1" w:styleId="7">
    <w:name w:val="页眉 字符"/>
    <w:basedOn w:val="5"/>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1569</Words>
  <Characters>8948</Characters>
  <Lines>74</Lines>
  <Paragraphs>20</Paragraphs>
  <TotalTime>47</TotalTime>
  <ScaleCrop>false</ScaleCrop>
  <LinksUpToDate>false</LinksUpToDate>
  <CharactersWithSpaces>10497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2021-02-05T10:30:00Z</dcterms:created>
  <dc:creator>Administrator</dc:creator>
  <cp:lastModifiedBy>YuSuan</cp:lastModifiedBy>
  <dcterms:modified xsi:type="dcterms:W3CDTF">2025-02-11T02:09:37Z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E52DA956667C4498909A081535C266E6_13</vt:lpwstr>
  </property>
</Properties>
</file>