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bCs/>
          <w:kern w:val="0"/>
          <w:sz w:val="44"/>
          <w:szCs w:val="44"/>
        </w:rPr>
      </w:pPr>
      <w:r>
        <w:rPr>
          <w:rFonts w:hint="eastAsia" w:ascii="黑体" w:hAnsi="黑体" w:eastAsia="黑体"/>
          <w:sz w:val="32"/>
          <w:szCs w:val="32"/>
        </w:rPr>
        <w:t>附件：</w:t>
      </w:r>
    </w:p>
    <w:p>
      <w:pPr>
        <w:rPr>
          <w:rFonts w:ascii="宋体" w:hAnsi="宋体" w:cs="宋体"/>
          <w:b/>
          <w:bCs/>
          <w:kern w:val="0"/>
          <w:sz w:val="44"/>
          <w:szCs w:val="44"/>
        </w:rPr>
      </w:pPr>
    </w:p>
    <w:p>
      <w:pPr>
        <w:rPr>
          <w:rFonts w:ascii="宋体" w:hAnsi="宋体" w:cs="宋体"/>
          <w:b/>
          <w:bCs/>
          <w:kern w:val="0"/>
          <w:sz w:val="44"/>
          <w:szCs w:val="44"/>
        </w:rPr>
      </w:pPr>
    </w:p>
    <w:p>
      <w:pPr>
        <w:rPr>
          <w:rFonts w:ascii="黑体" w:hAnsi="黑体" w:eastAsia="黑体"/>
          <w:sz w:val="32"/>
          <w:szCs w:val="32"/>
        </w:rPr>
      </w:pPr>
    </w:p>
    <w:p>
      <w:pPr>
        <w:rPr>
          <w:rFonts w:ascii="黑体" w:hAnsi="黑体" w:eastAsia="黑体"/>
          <w:sz w:val="32"/>
          <w:szCs w:val="32"/>
        </w:rPr>
      </w:pPr>
    </w:p>
    <w:p>
      <w:pPr>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伊州区设施农业服务中心部门</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2021年预算公开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44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440" w:lineRule="exact"/>
        <w:ind w:firstLine="883" w:firstLineChars="200"/>
        <w:outlineLvl w:val="1"/>
        <w:rPr>
          <w:rFonts w:ascii="宋体" w:hAnsi="宋体"/>
          <w:b/>
          <w:kern w:val="0"/>
          <w:sz w:val="44"/>
          <w:szCs w:val="44"/>
        </w:rPr>
      </w:pP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伊州区设施农业服务中心部门概况</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2021年部门预算公开表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七、一般公共预算</w:t>
      </w:r>
      <w:r>
        <w:rPr>
          <w:rFonts w:hint="eastAsia" w:ascii="仿宋_GB2312" w:hAnsi="宋体" w:eastAsia="仿宋_GB2312"/>
          <w:bCs/>
          <w:kern w:val="0"/>
          <w:sz w:val="32"/>
          <w:szCs w:val="32"/>
        </w:rPr>
        <w:t>项目支出情况表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2021年部门预算情况说明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一、关于伊州区设施农业服务中心部门2021年收支预算情况的总体说明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二、关于伊州区设施农业服务中心部门2021年收入预算情况说明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三、关于伊州区设施农业服务中心部门2021年支出预算情况说明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四、关于伊州区设施农业服务中心部门2021年财政拨款收支预算情况的总体说明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五、关于伊州区设施农业服务中心部门2021年一般公共预算当年拨款情况说明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六、关于伊州区设施农业服务中心部门2021年一般公共预算基本支出情况说明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七、关于伊州区设施农业服务中心部门2021年一般公共预算项目支出情况说明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八、关于伊州区设施农业服务中心部门2021年一般公共预算“三公”经费预算情况说明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九、关于伊州区设施农业服务中心部门2021年政府性基金预算拨款情况说明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40" w:lineRule="exact"/>
        <w:ind w:firstLine="643" w:firstLineChars="200"/>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spacing w:line="440" w:lineRule="exact"/>
        <w:ind w:firstLine="643" w:firstLineChars="200"/>
        <w:jc w:val="center"/>
        <w:outlineLvl w:val="1"/>
        <w:rPr>
          <w:rFonts w:ascii="黑体" w:hAnsi="黑体" w:eastAsia="黑体"/>
          <w:kern w:val="0"/>
          <w:sz w:val="32"/>
          <w:szCs w:val="32"/>
        </w:rPr>
      </w:pPr>
      <w:r>
        <w:rPr>
          <w:rFonts w:ascii="仿宋_GB2312" w:hAnsi="宋体" w:eastAsia="仿宋_GB2312"/>
          <w:b/>
          <w:kern w:val="0"/>
          <w:sz w:val="32"/>
          <w:szCs w:val="32"/>
        </w:rPr>
        <w:br w:type="page"/>
      </w:r>
      <w:r>
        <w:rPr>
          <w:rFonts w:hint="eastAsia" w:ascii="黑体" w:hAnsi="黑体" w:eastAsia="黑体"/>
          <w:kern w:val="0"/>
          <w:sz w:val="32"/>
          <w:szCs w:val="32"/>
        </w:rPr>
        <w:t>第一部分   伊州区设施农业服务中心部门概况</w:t>
      </w:r>
    </w:p>
    <w:p>
      <w:pPr>
        <w:widowControl/>
        <w:jc w:val="center"/>
        <w:outlineLvl w:val="1"/>
        <w:rPr>
          <w:rFonts w:ascii="宋体" w:hAnsi="宋体"/>
          <w:b/>
          <w:kern w:val="0"/>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ascii="仿宋_GB2312" w:hAnsi="黑体" w:eastAsia="仿宋_GB2312" w:cs="宋体"/>
          <w:bCs/>
          <w:kern w:val="0"/>
          <w:sz w:val="32"/>
          <w:szCs w:val="32"/>
        </w:rPr>
      </w:pPr>
      <w:r>
        <w:rPr>
          <w:rFonts w:hint="eastAsia" w:ascii="仿宋_GB2312" w:hAnsi="黑体" w:eastAsia="仿宋_GB2312" w:cs="宋体"/>
          <w:bCs/>
          <w:kern w:val="0"/>
          <w:sz w:val="32"/>
          <w:szCs w:val="32"/>
        </w:rPr>
        <w:t>哈密市伊州区设施农业服务中心于2007年6月经哈密市第一次机构编制委员会会议（哈市机编自【2007】5号）研究同意成立，为哈密市人民政府直属事业单位。主要职责如下：</w:t>
      </w:r>
    </w:p>
    <w:p>
      <w:pPr>
        <w:spacing w:line="500" w:lineRule="exact"/>
        <w:ind w:firstLine="640" w:firstLineChars="200"/>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1</w:t>
      </w:r>
      <w:r>
        <w:rPr>
          <w:rFonts w:ascii="仿宋_GB2312" w:hAnsi="黑体" w:eastAsia="仿宋_GB2312" w:cs="宋体"/>
          <w:bCs/>
          <w:kern w:val="0"/>
          <w:sz w:val="32"/>
          <w:szCs w:val="32"/>
        </w:rPr>
        <w:t>.</w:t>
      </w:r>
      <w:r>
        <w:rPr>
          <w:rFonts w:hint="eastAsia" w:ascii="仿宋_GB2312" w:hAnsi="黑体" w:eastAsia="仿宋_GB2312" w:cs="宋体"/>
          <w:bCs/>
          <w:kern w:val="0"/>
          <w:sz w:val="32"/>
          <w:szCs w:val="32"/>
        </w:rPr>
        <w:t>执行市委、市政府的决策决议，保证经营目标的实现，及时完成市委、市政府下达的各项指标。</w:t>
      </w:r>
    </w:p>
    <w:p>
      <w:pPr>
        <w:spacing w:line="500" w:lineRule="exact"/>
        <w:ind w:firstLine="640" w:firstLineChars="200"/>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2</w:t>
      </w:r>
      <w:r>
        <w:rPr>
          <w:rFonts w:ascii="仿宋_GB2312" w:hAnsi="黑体" w:eastAsia="仿宋_GB2312" w:cs="宋体"/>
          <w:bCs/>
          <w:kern w:val="0"/>
          <w:sz w:val="32"/>
          <w:szCs w:val="32"/>
        </w:rPr>
        <w:t>.</w:t>
      </w:r>
      <w:r>
        <w:rPr>
          <w:rFonts w:hint="eastAsia" w:ascii="仿宋_GB2312" w:hAnsi="黑体" w:eastAsia="仿宋_GB2312" w:cs="宋体"/>
          <w:bCs/>
          <w:kern w:val="0"/>
          <w:sz w:val="32"/>
          <w:szCs w:val="32"/>
        </w:rPr>
        <w:t>组织实施设施农业基地年度工作计划和财务预算报告及利润分配使用方案</w:t>
      </w:r>
      <w:r>
        <w:rPr>
          <w:rFonts w:hint="eastAsia" w:ascii="仿宋_GB2312" w:hAnsi="黑体" w:eastAsia="仿宋_GB2312" w:cs="宋体"/>
          <w:bCs/>
          <w:kern w:val="0"/>
          <w:sz w:val="32"/>
          <w:szCs w:val="32"/>
          <w:lang w:eastAsia="zh-CN"/>
        </w:rPr>
        <w:t>。</w:t>
      </w:r>
    </w:p>
    <w:p>
      <w:pPr>
        <w:spacing w:line="500" w:lineRule="exact"/>
        <w:ind w:firstLine="640" w:firstLineChars="200"/>
        <w:rPr>
          <w:rFonts w:ascii="仿宋_GB2312" w:hAnsi="黑体" w:eastAsia="仿宋_GB2312" w:cs="宋体"/>
          <w:bCs/>
          <w:kern w:val="0"/>
          <w:sz w:val="32"/>
          <w:szCs w:val="32"/>
        </w:rPr>
      </w:pPr>
      <w:r>
        <w:rPr>
          <w:rFonts w:hint="eastAsia" w:ascii="仿宋_GB2312" w:hAnsi="黑体" w:eastAsia="仿宋_GB2312" w:cs="宋体"/>
          <w:bCs/>
          <w:kern w:val="0"/>
          <w:sz w:val="32"/>
          <w:szCs w:val="32"/>
        </w:rPr>
        <w:t>3</w:t>
      </w:r>
      <w:r>
        <w:rPr>
          <w:rFonts w:ascii="仿宋_GB2312" w:hAnsi="黑体" w:eastAsia="仿宋_GB2312" w:cs="宋体"/>
          <w:bCs/>
          <w:kern w:val="0"/>
          <w:sz w:val="32"/>
          <w:szCs w:val="32"/>
        </w:rPr>
        <w:t>.</w:t>
      </w:r>
      <w:r>
        <w:rPr>
          <w:rFonts w:hint="eastAsia" w:ascii="仿宋_GB2312" w:hAnsi="黑体" w:eastAsia="仿宋_GB2312" w:cs="宋体"/>
          <w:bCs/>
          <w:kern w:val="0"/>
          <w:sz w:val="32"/>
          <w:szCs w:val="32"/>
        </w:rPr>
        <w:t>组织指挥日常经营管理工作，签署有关协议、合同、合约和处理有关事宜。</w:t>
      </w:r>
    </w:p>
    <w:p>
      <w:pPr>
        <w:spacing w:line="500" w:lineRule="exact"/>
        <w:ind w:firstLine="640" w:firstLineChars="200"/>
        <w:rPr>
          <w:rFonts w:ascii="仿宋_GB2312" w:hAnsi="黑体" w:eastAsia="仿宋_GB2312" w:cs="宋体"/>
          <w:bCs/>
          <w:kern w:val="0"/>
          <w:sz w:val="32"/>
          <w:szCs w:val="32"/>
        </w:rPr>
      </w:pPr>
      <w:r>
        <w:rPr>
          <w:rFonts w:hint="eastAsia" w:ascii="仿宋_GB2312" w:hAnsi="黑体" w:eastAsia="仿宋_GB2312" w:cs="宋体"/>
          <w:bCs/>
          <w:kern w:val="0"/>
          <w:sz w:val="32"/>
          <w:szCs w:val="32"/>
        </w:rPr>
        <w:t>4</w:t>
      </w:r>
      <w:r>
        <w:rPr>
          <w:rFonts w:ascii="仿宋_GB2312" w:hAnsi="黑体" w:eastAsia="仿宋_GB2312" w:cs="宋体"/>
          <w:bCs/>
          <w:kern w:val="0"/>
          <w:sz w:val="32"/>
          <w:szCs w:val="32"/>
        </w:rPr>
        <w:t>.</w:t>
      </w:r>
      <w:r>
        <w:rPr>
          <w:rFonts w:hint="eastAsia" w:ascii="仿宋_GB2312" w:hAnsi="黑体" w:eastAsia="仿宋_GB2312" w:cs="宋体"/>
          <w:bCs/>
          <w:kern w:val="0"/>
          <w:sz w:val="32"/>
          <w:szCs w:val="32"/>
        </w:rPr>
        <w:t>建立健全统一、高效、完善的组织和工作体系；根据经营管理和生成需要，聘请专职或兼职法律顾问、经营管理和生成技术顾问。</w:t>
      </w:r>
    </w:p>
    <w:p>
      <w:pPr>
        <w:spacing w:line="500" w:lineRule="exact"/>
        <w:ind w:firstLine="640" w:firstLineChars="200"/>
        <w:rPr>
          <w:rFonts w:ascii="仿宋_GB2312" w:hAnsi="黑体" w:eastAsia="仿宋_GB2312" w:cs="宋体"/>
          <w:bCs/>
          <w:kern w:val="0"/>
          <w:sz w:val="32"/>
          <w:szCs w:val="32"/>
        </w:rPr>
      </w:pPr>
      <w:r>
        <w:rPr>
          <w:rFonts w:hint="eastAsia" w:ascii="仿宋_GB2312" w:hAnsi="黑体" w:eastAsia="仿宋_GB2312" w:cs="宋体"/>
          <w:bCs/>
          <w:kern w:val="0"/>
          <w:sz w:val="32"/>
          <w:szCs w:val="32"/>
        </w:rPr>
        <w:t>5</w:t>
      </w:r>
      <w:r>
        <w:rPr>
          <w:rFonts w:ascii="仿宋_GB2312" w:hAnsi="黑体" w:eastAsia="仿宋_GB2312" w:cs="宋体"/>
          <w:bCs/>
          <w:kern w:val="0"/>
          <w:sz w:val="32"/>
          <w:szCs w:val="32"/>
        </w:rPr>
        <w:t>.</w:t>
      </w:r>
      <w:r>
        <w:rPr>
          <w:rFonts w:hint="eastAsia" w:ascii="仿宋_GB2312" w:hAnsi="黑体" w:eastAsia="仿宋_GB2312" w:cs="宋体"/>
          <w:bCs/>
          <w:kern w:val="0"/>
          <w:sz w:val="32"/>
          <w:szCs w:val="32"/>
        </w:rPr>
        <w:t>负责对干部职工进行管理和教育培训，建立作风优良、纪律严明、训练有素的职工队伍。</w:t>
      </w:r>
    </w:p>
    <w:p>
      <w:pPr>
        <w:spacing w:line="500" w:lineRule="exact"/>
        <w:ind w:firstLine="640" w:firstLineChars="200"/>
        <w:rPr>
          <w:rFonts w:ascii="仿宋_GB2312" w:hAnsi="黑体" w:eastAsia="仿宋_GB2312" w:cs="宋体"/>
          <w:bCs/>
          <w:kern w:val="0"/>
          <w:sz w:val="32"/>
          <w:szCs w:val="32"/>
        </w:rPr>
      </w:pPr>
      <w:r>
        <w:rPr>
          <w:rFonts w:hint="eastAsia" w:ascii="仿宋_GB2312" w:hAnsi="黑体" w:eastAsia="仿宋_GB2312" w:cs="宋体"/>
          <w:bCs/>
          <w:kern w:val="0"/>
          <w:sz w:val="32"/>
          <w:szCs w:val="32"/>
        </w:rPr>
        <w:t>6</w:t>
      </w:r>
      <w:r>
        <w:rPr>
          <w:rFonts w:ascii="仿宋_GB2312" w:hAnsi="黑体" w:eastAsia="仿宋_GB2312" w:cs="宋体"/>
          <w:bCs/>
          <w:kern w:val="0"/>
          <w:sz w:val="32"/>
          <w:szCs w:val="32"/>
        </w:rPr>
        <w:t>.</w:t>
      </w:r>
      <w:r>
        <w:rPr>
          <w:rFonts w:hint="eastAsia" w:ascii="仿宋_GB2312" w:hAnsi="黑体" w:eastAsia="仿宋_GB2312" w:cs="宋体"/>
          <w:bCs/>
          <w:kern w:val="0"/>
          <w:sz w:val="32"/>
          <w:szCs w:val="32"/>
        </w:rPr>
        <w:t>抓好设施农业基地的生产及销售服务工作。</w:t>
      </w:r>
    </w:p>
    <w:p>
      <w:pPr>
        <w:widowControl/>
        <w:spacing w:line="560" w:lineRule="exact"/>
        <w:jc w:val="left"/>
        <w:rPr>
          <w:rFonts w:ascii="仿宋_GB2312" w:hAnsi="黑体" w:eastAsia="仿宋_GB2312" w:cs="宋体"/>
          <w:bCs/>
          <w:kern w:val="0"/>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伊州区设施农业服务中心部门无下属预算单位，下设2个科室，分别是：财务科与办公室。</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伊州区设施农业服务中心部门编制数7人，实有人数6人，其中：在职6人，增加2人；退休0人，减少1人；离休0人，减少0人。</w:t>
      </w:r>
    </w:p>
    <w:p>
      <w:pPr>
        <w:widowControl/>
        <w:spacing w:line="560" w:lineRule="exact"/>
        <w:ind w:firstLine="640"/>
        <w:jc w:val="center"/>
        <w:rPr>
          <w:rFonts w:ascii="黑体" w:hAnsi="黑体" w:eastAsia="黑体"/>
          <w:kern w:val="0"/>
          <w:sz w:val="32"/>
          <w:szCs w:val="32"/>
        </w:rPr>
      </w:pPr>
      <w:r>
        <w:rPr>
          <w:rFonts w:ascii="仿宋_GB2312" w:hAnsi="宋体" w:eastAsia="仿宋_GB2312" w:cs="宋体"/>
          <w:kern w:val="0"/>
          <w:sz w:val="32"/>
          <w:szCs w:val="32"/>
        </w:rPr>
        <w:br w:type="page"/>
      </w:r>
      <w:r>
        <w:rPr>
          <w:rFonts w:hint="eastAsia" w:ascii="黑体" w:hAnsi="黑体" w:eastAsia="黑体"/>
          <w:kern w:val="0"/>
          <w:sz w:val="32"/>
          <w:szCs w:val="32"/>
        </w:rPr>
        <w:t>第二部分  2021年部门预算公开表</w:t>
      </w:r>
    </w:p>
    <w:p>
      <w:pPr>
        <w:widowControl/>
        <w:spacing w:line="28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编制部门：伊州区设施农业服务中心部门                        单位：万元</w:t>
      </w:r>
    </w:p>
    <w:tbl>
      <w:tblPr>
        <w:tblStyle w:val="7"/>
        <w:tblW w:w="8662" w:type="dxa"/>
        <w:tblInd w:w="93" w:type="dxa"/>
        <w:tblLayout w:type="fixed"/>
        <w:tblCellMar>
          <w:top w:w="0" w:type="dxa"/>
          <w:left w:w="108" w:type="dxa"/>
          <w:bottom w:w="0" w:type="dxa"/>
          <w:right w:w="108" w:type="dxa"/>
        </w:tblCellMar>
      </w:tblPr>
      <w:tblGrid>
        <w:gridCol w:w="2280"/>
        <w:gridCol w:w="1988"/>
        <w:gridCol w:w="2708"/>
        <w:gridCol w:w="1686"/>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25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70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68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59.18</w:t>
            </w: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59.18</w:t>
            </w: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5.05</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50.35</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3.78</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68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08"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抗疫特别国债还本支出</w:t>
            </w:r>
          </w:p>
        </w:tc>
        <w:tc>
          <w:tcPr>
            <w:tcW w:w="1686"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708"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仿宋_GB2312" w:hAnsi="宋体" w:eastAsia="仿宋_GB2312" w:cs="宋体"/>
                <w:kern w:val="0"/>
                <w:sz w:val="18"/>
                <w:szCs w:val="18"/>
              </w:rPr>
            </w:pPr>
          </w:p>
        </w:tc>
        <w:tc>
          <w:tcPr>
            <w:tcW w:w="1686"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59.18</w:t>
            </w:r>
          </w:p>
        </w:tc>
        <w:tc>
          <w:tcPr>
            <w:tcW w:w="2708"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  出  总  计</w:t>
            </w:r>
          </w:p>
        </w:tc>
        <w:tc>
          <w:tcPr>
            <w:tcW w:w="1686"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59.18</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编制部门：伊州区设施农业服务中心部门                             单位：万元</w:t>
      </w:r>
    </w:p>
    <w:tbl>
      <w:tblPr>
        <w:tblStyle w:val="7"/>
        <w:tblW w:w="9116" w:type="dxa"/>
        <w:tblInd w:w="0" w:type="dxa"/>
        <w:tblLayout w:type="fixed"/>
        <w:tblCellMar>
          <w:top w:w="0" w:type="dxa"/>
          <w:left w:w="108" w:type="dxa"/>
          <w:bottom w:w="0" w:type="dxa"/>
          <w:right w:w="108" w:type="dxa"/>
        </w:tblCellMar>
      </w:tblPr>
      <w:tblGrid>
        <w:gridCol w:w="531"/>
        <w:gridCol w:w="427"/>
        <w:gridCol w:w="476"/>
        <w:gridCol w:w="1570"/>
        <w:gridCol w:w="1282"/>
        <w:gridCol w:w="696"/>
        <w:gridCol w:w="893"/>
        <w:gridCol w:w="760"/>
        <w:gridCol w:w="760"/>
        <w:gridCol w:w="554"/>
        <w:gridCol w:w="596"/>
        <w:gridCol w:w="571"/>
      </w:tblGrid>
      <w:tr>
        <w:tblPrEx>
          <w:tblLayout w:type="fixed"/>
          <w:tblCellMar>
            <w:top w:w="0" w:type="dxa"/>
            <w:left w:w="108" w:type="dxa"/>
            <w:bottom w:w="0" w:type="dxa"/>
            <w:right w:w="108" w:type="dxa"/>
          </w:tblCellMar>
        </w:tblPrEx>
        <w:trPr>
          <w:trHeight w:val="510" w:hRule="atLeast"/>
        </w:trPr>
        <w:tc>
          <w:tcPr>
            <w:tcW w:w="143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157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28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9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89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760" w:type="dxa"/>
            <w:vMerge w:val="restart"/>
            <w:tcBorders>
              <w:top w:val="single" w:color="auto" w:sz="4" w:space="0"/>
              <w:left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c>
          <w:tcPr>
            <w:tcW w:w="76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55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59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57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单位其他资金收入</w:t>
            </w:r>
          </w:p>
        </w:tc>
      </w:tr>
      <w:tr>
        <w:tblPrEx>
          <w:tblLayout w:type="fixed"/>
          <w:tblCellMar>
            <w:top w:w="0" w:type="dxa"/>
            <w:left w:w="108" w:type="dxa"/>
            <w:bottom w:w="0" w:type="dxa"/>
            <w:right w:w="108" w:type="dxa"/>
          </w:tblCellMar>
        </w:tblPrEx>
        <w:trPr>
          <w:trHeight w:val="187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76"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15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1282"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9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93"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60" w:type="dxa"/>
            <w:vMerge w:val="continue"/>
            <w:tcBorders>
              <w:left w:val="single" w:color="auto" w:sz="4" w:space="0"/>
              <w:bottom w:val="single" w:color="auto" w:sz="4" w:space="0"/>
              <w:right w:val="single" w:color="auto" w:sz="4" w:space="0"/>
            </w:tcBorders>
          </w:tcPr>
          <w:p>
            <w:pPr>
              <w:rPr>
                <w:rFonts w:ascii="仿宋_GB2312" w:hAnsi="宋体" w:eastAsia="仿宋_GB2312" w:cs="宋体"/>
                <w:color w:val="000000"/>
                <w:sz w:val="20"/>
                <w:szCs w:val="20"/>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554"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9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71"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rPr>
              <w:t>208</w:t>
            </w:r>
          </w:p>
        </w:tc>
        <w:tc>
          <w:tcPr>
            <w:tcW w:w="42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rPr>
              <w:t>社会保障和就业支出</w:t>
            </w:r>
          </w:p>
        </w:tc>
        <w:tc>
          <w:tcPr>
            <w:tcW w:w="1282" w:type="dxa"/>
            <w:tcBorders>
              <w:top w:val="nil"/>
              <w:left w:val="nil"/>
              <w:bottom w:val="single" w:color="auto" w:sz="4" w:space="0"/>
              <w:right w:val="single" w:color="auto" w:sz="4" w:space="0"/>
            </w:tcBorders>
            <w:shd w:val="clear" w:color="000000" w:fill="FFFFFF"/>
            <w:noWrap/>
            <w:vAlign w:val="center"/>
          </w:tcPr>
          <w:p>
            <w:pPr>
              <w:jc w:val="right"/>
              <w:rPr>
                <w:rFonts w:ascii="仿宋_GB2312" w:hAnsi="宋体" w:eastAsia="仿宋_GB2312" w:cs="宋体"/>
                <w:color w:val="000000"/>
                <w:sz w:val="20"/>
                <w:szCs w:val="20"/>
              </w:rPr>
            </w:pPr>
            <w:r>
              <w:rPr>
                <w:rFonts w:hint="eastAsia"/>
              </w:rPr>
              <w:t>5.05</w:t>
            </w:r>
          </w:p>
        </w:tc>
        <w:tc>
          <w:tcPr>
            <w:tcW w:w="696" w:type="dxa"/>
            <w:tcBorders>
              <w:top w:val="nil"/>
              <w:left w:val="nil"/>
              <w:bottom w:val="single" w:color="auto" w:sz="4" w:space="0"/>
              <w:right w:val="single" w:color="auto" w:sz="4" w:space="0"/>
            </w:tcBorders>
            <w:shd w:val="clear" w:color="000000" w:fill="FFFFFF"/>
            <w:noWrap/>
            <w:vAlign w:val="center"/>
          </w:tcPr>
          <w:p>
            <w:pPr>
              <w:jc w:val="right"/>
              <w:rPr>
                <w:rFonts w:ascii="仿宋_GB2312" w:hAnsi="宋体" w:eastAsia="仿宋_GB2312" w:cs="宋体"/>
                <w:color w:val="000000"/>
                <w:sz w:val="20"/>
                <w:szCs w:val="20"/>
              </w:rPr>
            </w:pPr>
            <w:r>
              <w:rPr>
                <w:rFonts w:hint="eastAsia"/>
              </w:rPr>
              <w:t>5.05</w:t>
            </w:r>
          </w:p>
        </w:tc>
        <w:tc>
          <w:tcPr>
            <w:tcW w:w="893" w:type="dxa"/>
            <w:tcBorders>
              <w:top w:val="nil"/>
              <w:left w:val="nil"/>
              <w:bottom w:val="single" w:color="auto" w:sz="4" w:space="0"/>
              <w:right w:val="single" w:color="auto" w:sz="4" w:space="0"/>
            </w:tcBorders>
            <w:shd w:val="clear" w:color="000000" w:fill="FFFFFF"/>
            <w:noWrap/>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shd w:val="clear" w:color="000000" w:fill="FFFFFF"/>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shd w:val="clear" w:color="000000" w:fill="FFFFFF"/>
            <w:noWrap/>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shd w:val="clear" w:color="000000" w:fill="FFFFFF"/>
            <w:noWrap/>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000000" w:fill="FFFFFF"/>
            <w:noWrap/>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208</w:t>
            </w: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05</w:t>
            </w: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行政事业单位基本养老支出</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5.05</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5.05</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208</w:t>
            </w: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05</w:t>
            </w: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05</w:t>
            </w: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机关事业单位基本养老保险缴费支出</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5.05</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5.05</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213</w:t>
            </w: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农林水支出</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50.35</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50.35</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213</w:t>
            </w: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01</w:t>
            </w: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农业农村</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50.35</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50.35</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213</w:t>
            </w: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01</w:t>
            </w: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04</w:t>
            </w: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事业运行</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50.35</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50.35</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221</w:t>
            </w: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住房保障性支出</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3.78</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3.78</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221</w:t>
            </w: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02</w:t>
            </w: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住房改革支出</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3.78</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3.78</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221</w:t>
            </w: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02</w:t>
            </w: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01</w:t>
            </w: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rPr>
              <w:t>住房公积金</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3.78</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3.78</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2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7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57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b/>
                <w:bCs/>
                <w:color w:val="000000"/>
                <w:sz w:val="20"/>
                <w:szCs w:val="20"/>
              </w:rPr>
              <w:t>合  计</w:t>
            </w:r>
          </w:p>
        </w:tc>
        <w:tc>
          <w:tcPr>
            <w:tcW w:w="128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59.18</w:t>
            </w:r>
          </w:p>
        </w:tc>
        <w:tc>
          <w:tcPr>
            <w:tcW w:w="6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rPr>
              <w:t>59.18</w:t>
            </w:r>
          </w:p>
        </w:tc>
        <w:tc>
          <w:tcPr>
            <w:tcW w:w="893"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760" w:type="dxa"/>
            <w:tcBorders>
              <w:top w:val="single" w:color="auto" w:sz="4" w:space="0"/>
              <w:left w:val="nil"/>
              <w:bottom w:val="single" w:color="auto" w:sz="4" w:space="0"/>
              <w:right w:val="single" w:color="auto" w:sz="4" w:space="0"/>
            </w:tcBorders>
          </w:tcPr>
          <w:p>
            <w:pPr>
              <w:jc w:val="left"/>
              <w:rPr>
                <w:rFonts w:ascii="仿宋_GB2312" w:hAnsi="宋体" w:eastAsia="仿宋_GB2312" w:cs="宋体"/>
                <w:color w:val="000000"/>
                <w:sz w:val="20"/>
                <w:szCs w:val="20"/>
              </w:rPr>
            </w:pPr>
          </w:p>
        </w:tc>
        <w:tc>
          <w:tcPr>
            <w:tcW w:w="760"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54"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表三：</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编制部门：伊州区设施农业服务中心部门                         单位：万元</w:t>
      </w:r>
    </w:p>
    <w:tbl>
      <w:tblPr>
        <w:tblStyle w:val="7"/>
        <w:tblW w:w="9420" w:type="dxa"/>
        <w:tblInd w:w="-240" w:type="dxa"/>
        <w:tblLayout w:type="fixed"/>
        <w:tblCellMar>
          <w:top w:w="0" w:type="dxa"/>
          <w:left w:w="108" w:type="dxa"/>
          <w:bottom w:w="0" w:type="dxa"/>
          <w:right w:w="108" w:type="dxa"/>
        </w:tblCellMar>
      </w:tblPr>
      <w:tblGrid>
        <w:gridCol w:w="531"/>
        <w:gridCol w:w="426"/>
        <w:gridCol w:w="426"/>
        <w:gridCol w:w="2537"/>
        <w:gridCol w:w="1820"/>
        <w:gridCol w:w="1821"/>
        <w:gridCol w:w="1859"/>
      </w:tblGrid>
      <w:tr>
        <w:tblPrEx>
          <w:tblLayout w:type="fixed"/>
          <w:tblCellMar>
            <w:top w:w="0" w:type="dxa"/>
            <w:left w:w="108" w:type="dxa"/>
            <w:bottom w:w="0" w:type="dxa"/>
            <w:right w:w="108" w:type="dxa"/>
          </w:tblCellMar>
        </w:tblPrEx>
        <w:trPr>
          <w:trHeight w:val="345" w:hRule="atLeast"/>
        </w:trPr>
        <w:tc>
          <w:tcPr>
            <w:tcW w:w="392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项    目</w:t>
            </w:r>
          </w:p>
        </w:tc>
        <w:tc>
          <w:tcPr>
            <w:tcW w:w="5500"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Layout w:type="fixed"/>
          <w:tblCellMar>
            <w:top w:w="0" w:type="dxa"/>
            <w:left w:w="108" w:type="dxa"/>
            <w:bottom w:w="0" w:type="dxa"/>
            <w:right w:w="108" w:type="dxa"/>
          </w:tblCellMar>
        </w:tblPrEx>
        <w:trPr>
          <w:trHeight w:val="480" w:hRule="atLeast"/>
        </w:trPr>
        <w:tc>
          <w:tcPr>
            <w:tcW w:w="13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53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2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合  计</w:t>
            </w:r>
          </w:p>
        </w:tc>
        <w:tc>
          <w:tcPr>
            <w:tcW w:w="182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8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53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2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2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208</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社会保障和就业支出</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5.05</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5.05</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208</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05</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行政事业单位基本养老支出</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5.05</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5.05</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208</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05</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05</w:t>
            </w: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机关事业单位基本养老保险缴费支出</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5.05</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5.05</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213</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农林水支出</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50.35</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50.35</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213</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01</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农业农村</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50.35</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50.35</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213</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01</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04</w:t>
            </w: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事业运行</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50.35</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50.35</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221</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住房保障支出</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3.78</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3.78</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221</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02</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住房改革支出</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3.78</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3.78</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221</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02</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01</w:t>
            </w: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r>
              <w:rPr>
                <w:rFonts w:hint="eastAsia"/>
              </w:rPr>
              <w:t>住房公积金</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3.78</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r>
              <w:rPr>
                <w:rFonts w:hint="eastAsia"/>
              </w:rPr>
              <w:t>3.78</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2"/>
              </w:rPr>
            </w:pPr>
            <w:r>
              <w:rPr>
                <w:rFonts w:hint="eastAsia" w:ascii="宋体" w:hAnsi="宋体" w:cs="宋体"/>
                <w:b/>
                <w:bCs/>
                <w:color w:val="000000"/>
                <w:kern w:val="0"/>
                <w:sz w:val="22"/>
              </w:rPr>
              <w:t>合  计</w:t>
            </w:r>
          </w:p>
        </w:tc>
        <w:tc>
          <w:tcPr>
            <w:tcW w:w="18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24"/>
              </w:rPr>
            </w:pPr>
            <w:r>
              <w:rPr>
                <w:rFonts w:hint="eastAsia"/>
              </w:rPr>
              <w:t>59.18</w:t>
            </w:r>
          </w:p>
        </w:tc>
        <w:tc>
          <w:tcPr>
            <w:tcW w:w="182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24"/>
              </w:rPr>
            </w:pPr>
            <w:r>
              <w:rPr>
                <w:rFonts w:hint="eastAsia"/>
              </w:rPr>
              <w:t>59.18</w:t>
            </w:r>
          </w:p>
        </w:tc>
        <w:tc>
          <w:tcPr>
            <w:tcW w:w="18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表四：</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outlineLvl w:val="1"/>
        <w:rPr>
          <w:rFonts w:ascii="仿宋_GB2312" w:hAnsi="宋体" w:eastAsia="仿宋_GB2312"/>
          <w:kern w:val="0"/>
          <w:szCs w:val="21"/>
        </w:rPr>
      </w:pPr>
      <w:r>
        <w:rPr>
          <w:rFonts w:hint="eastAsia" w:ascii="仿宋_GB2312" w:hAnsi="宋体" w:eastAsia="仿宋_GB2312"/>
          <w:kern w:val="0"/>
          <w:szCs w:val="21"/>
        </w:rPr>
        <w:t>编制部门：伊州区设施农业服务中心部门                                 单位：万元</w:t>
      </w:r>
    </w:p>
    <w:tbl>
      <w:tblPr>
        <w:tblStyle w:val="7"/>
        <w:tblW w:w="9116" w:type="dxa"/>
        <w:tblInd w:w="0" w:type="dxa"/>
        <w:tblLayout w:type="fixed"/>
        <w:tblCellMar>
          <w:top w:w="0" w:type="dxa"/>
          <w:left w:w="108" w:type="dxa"/>
          <w:bottom w:w="0" w:type="dxa"/>
          <w:right w:w="108" w:type="dxa"/>
        </w:tblCellMar>
      </w:tblPr>
      <w:tblGrid>
        <w:gridCol w:w="1656"/>
        <w:gridCol w:w="911"/>
        <w:gridCol w:w="2556"/>
        <w:gridCol w:w="1068"/>
        <w:gridCol w:w="947"/>
        <w:gridCol w:w="991"/>
        <w:gridCol w:w="987"/>
      </w:tblGrid>
      <w:tr>
        <w:tblPrEx>
          <w:tblLayout w:type="fixed"/>
          <w:tblCellMar>
            <w:top w:w="0" w:type="dxa"/>
            <w:left w:w="108" w:type="dxa"/>
            <w:bottom w:w="0" w:type="dxa"/>
            <w:right w:w="108" w:type="dxa"/>
          </w:tblCellMar>
        </w:tblPrEx>
        <w:trPr>
          <w:trHeight w:val="285" w:hRule="atLeast"/>
        </w:trPr>
        <w:tc>
          <w:tcPr>
            <w:tcW w:w="2567"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5562" w:type="dxa"/>
            <w:gridSpan w:val="4"/>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c>
          <w:tcPr>
            <w:tcW w:w="987" w:type="dxa"/>
            <w:tcBorders>
              <w:top w:val="single" w:color="auto" w:sz="4" w:space="0"/>
              <w:left w:val="nil"/>
              <w:bottom w:val="single" w:color="auto" w:sz="4" w:space="0"/>
              <w:right w:val="single" w:color="000000" w:sz="4" w:space="0"/>
            </w:tcBorders>
          </w:tcPr>
          <w:p>
            <w:pPr>
              <w:widowControl/>
              <w:spacing w:line="280" w:lineRule="exact"/>
              <w:jc w:val="center"/>
              <w:rPr>
                <w:rFonts w:ascii="仿宋_GB2312" w:hAnsi="宋体" w:eastAsia="仿宋_GB2312" w:cs="宋体"/>
                <w:b/>
                <w:bCs/>
                <w:kern w:val="0"/>
                <w:sz w:val="24"/>
              </w:rPr>
            </w:pPr>
          </w:p>
        </w:tc>
      </w:tr>
      <w:tr>
        <w:tblPrEx>
          <w:tblLayout w:type="fixed"/>
          <w:tblCellMar>
            <w:top w:w="0" w:type="dxa"/>
            <w:left w:w="108" w:type="dxa"/>
            <w:bottom w:w="0" w:type="dxa"/>
            <w:right w:w="108" w:type="dxa"/>
          </w:tblCellMar>
        </w:tblPrEx>
        <w:trPr>
          <w:trHeight w:val="466" w:hRule="atLeast"/>
        </w:trPr>
        <w:tc>
          <w:tcPr>
            <w:tcW w:w="165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06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94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99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9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911" w:type="dxa"/>
            <w:tcBorders>
              <w:top w:val="nil"/>
              <w:left w:val="nil"/>
              <w:bottom w:val="single" w:color="auto" w:sz="4" w:space="0"/>
              <w:right w:val="single" w:color="auto" w:sz="4" w:space="0"/>
            </w:tcBorders>
            <w:vAlign w:val="bottom"/>
          </w:tcPr>
          <w:p>
            <w:pPr>
              <w:widowControl/>
              <w:spacing w:line="280" w:lineRule="exact"/>
              <w:jc w:val="right"/>
            </w:pPr>
            <w:r>
              <w:rPr>
                <w:rFonts w:hint="eastAsia"/>
              </w:rPr>
              <w:t>59.18</w:t>
            </w:r>
          </w:p>
          <w:p>
            <w:pPr>
              <w:widowControl/>
              <w:spacing w:line="280" w:lineRule="exact"/>
              <w:jc w:val="right"/>
            </w:pPr>
            <w:r>
              <w:rPr>
                <w:rFonts w:hint="eastAsia"/>
              </w:rPr>
              <w:t>18</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91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22"/>
              </w:rPr>
            </w:pPr>
            <w:r>
              <w:rPr>
                <w:rFonts w:hint="eastAsia"/>
              </w:rPr>
              <w:t>59.18</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91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rPr>
              <w:t>5.05</w:t>
            </w: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rPr>
              <w:t>5.05</w:t>
            </w: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211 节能环保支出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rPr>
              <w:t>50.35</w:t>
            </w: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rPr>
              <w:t>50.35</w:t>
            </w: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rPr>
              <w:t>3.78</w:t>
            </w: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rPr>
              <w:t>3.78</w:t>
            </w: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227 预备费</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抗疫特别国债还本支出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1"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3"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9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2"/>
              </w:rPr>
            </w:pPr>
            <w:r>
              <w:rPr>
                <w:rFonts w:hint="eastAsia"/>
              </w:rPr>
              <w:t>59.18</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rPr>
              <w:t>59.18</w:t>
            </w:r>
          </w:p>
        </w:tc>
        <w:tc>
          <w:tcPr>
            <w:tcW w:w="94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rPr>
              <w:t>59.18</w:t>
            </w:r>
          </w:p>
        </w:tc>
        <w:tc>
          <w:tcPr>
            <w:tcW w:w="9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7"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表五：</w:t>
      </w:r>
    </w:p>
    <w:tbl>
      <w:tblPr>
        <w:tblStyle w:val="7"/>
        <w:tblW w:w="9223" w:type="dxa"/>
        <w:tblInd w:w="-34" w:type="dxa"/>
        <w:tblLayout w:type="fixed"/>
        <w:tblCellMar>
          <w:top w:w="0" w:type="dxa"/>
          <w:left w:w="108" w:type="dxa"/>
          <w:bottom w:w="0" w:type="dxa"/>
          <w:right w:w="108" w:type="dxa"/>
        </w:tblCellMar>
      </w:tblPr>
      <w:tblGrid>
        <w:gridCol w:w="568"/>
        <w:gridCol w:w="492"/>
        <w:gridCol w:w="426"/>
        <w:gridCol w:w="2510"/>
        <w:gridCol w:w="1684"/>
        <w:gridCol w:w="1842"/>
        <w:gridCol w:w="1701"/>
      </w:tblGrid>
      <w:tr>
        <w:tblPrEx>
          <w:tblLayout w:type="fixed"/>
          <w:tblCellMar>
            <w:top w:w="0" w:type="dxa"/>
            <w:left w:w="108" w:type="dxa"/>
            <w:bottom w:w="0" w:type="dxa"/>
            <w:right w:w="108" w:type="dxa"/>
          </w:tblCellMar>
        </w:tblPrEx>
        <w:trPr>
          <w:trHeight w:val="450" w:hRule="atLeast"/>
        </w:trPr>
        <w:tc>
          <w:tcPr>
            <w:tcW w:w="9223" w:type="dxa"/>
            <w:gridSpan w:val="7"/>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p>
            <w:pPr>
              <w:widowControl/>
              <w:spacing w:before="120" w:beforeLines="50" w:line="280" w:lineRule="exact"/>
              <w:outlineLvl w:val="1"/>
              <w:rPr>
                <w:rFonts w:ascii="仿宋_GB2312" w:hAnsi="宋体" w:eastAsia="仿宋_GB2312"/>
                <w:kern w:val="0"/>
                <w:szCs w:val="21"/>
              </w:rPr>
            </w:pPr>
            <w:r>
              <w:rPr>
                <w:rFonts w:hint="eastAsia" w:ascii="仿宋_GB2312" w:hAnsi="宋体" w:eastAsia="仿宋_GB2312"/>
                <w:kern w:val="0"/>
                <w:szCs w:val="21"/>
              </w:rPr>
              <w:t>编制部门：伊州区设施农业服务中心部门                                 单位：万元</w:t>
            </w:r>
          </w:p>
        </w:tc>
      </w:tr>
      <w:tr>
        <w:tblPrEx>
          <w:tblLayout w:type="fixed"/>
          <w:tblCellMar>
            <w:top w:w="0" w:type="dxa"/>
            <w:left w:w="108" w:type="dxa"/>
            <w:bottom w:w="0" w:type="dxa"/>
            <w:right w:w="108" w:type="dxa"/>
          </w:tblCellMar>
        </w:tblPrEx>
        <w:trPr>
          <w:trHeight w:val="405" w:hRule="atLeast"/>
        </w:trPr>
        <w:tc>
          <w:tcPr>
            <w:tcW w:w="3996"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项   目</w:t>
            </w:r>
          </w:p>
        </w:tc>
        <w:tc>
          <w:tcPr>
            <w:tcW w:w="5227"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一般公共预算支出</w:t>
            </w:r>
          </w:p>
        </w:tc>
      </w:tr>
      <w:tr>
        <w:tblPrEx>
          <w:tblLayout w:type="fixed"/>
          <w:tblCellMar>
            <w:top w:w="0" w:type="dxa"/>
            <w:left w:w="108" w:type="dxa"/>
            <w:bottom w:w="0" w:type="dxa"/>
            <w:right w:w="108" w:type="dxa"/>
          </w:tblCellMar>
        </w:tblPrEx>
        <w:trPr>
          <w:trHeight w:val="465" w:hRule="atLeast"/>
        </w:trPr>
        <w:tc>
          <w:tcPr>
            <w:tcW w:w="1486"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  计</w:t>
            </w:r>
          </w:p>
        </w:tc>
        <w:tc>
          <w:tcPr>
            <w:tcW w:w="184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2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208</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r>
              <w:rPr>
                <w:rFonts w:hint="eastAsia"/>
              </w:rPr>
              <w:t>社会保障和就业支出</w:t>
            </w:r>
          </w:p>
        </w:tc>
        <w:tc>
          <w:tcPr>
            <w:tcW w:w="1684"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b/>
                <w:color w:val="000000"/>
                <w:kern w:val="0"/>
                <w:sz w:val="20"/>
                <w:szCs w:val="20"/>
              </w:rPr>
            </w:pPr>
            <w:r>
              <w:rPr>
                <w:rFonts w:hint="eastAsia"/>
              </w:rPr>
              <w:t>5.05</w:t>
            </w:r>
          </w:p>
        </w:tc>
        <w:tc>
          <w:tcPr>
            <w:tcW w:w="1842"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b/>
                <w:color w:val="000000"/>
                <w:kern w:val="0"/>
                <w:sz w:val="20"/>
                <w:szCs w:val="20"/>
              </w:rPr>
            </w:pPr>
            <w:r>
              <w:rPr>
                <w:rFonts w:hint="eastAsia"/>
              </w:rPr>
              <w:t>5.05</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b/>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208</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05</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rPr>
              <w:t>行政事业单位基本养老支出</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5.05</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5.05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208</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05</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05</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rPr>
              <w:t>机关事业单位基本养老保险缴费支出</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5.05</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5.05</w:t>
            </w:r>
            <w:r>
              <w:rPr>
                <w:rFonts w:hint="eastAsia" w:ascii="宋体" w:hAnsi="宋体" w:cs="宋体"/>
                <w:color w:val="000000"/>
                <w:kern w:val="0"/>
                <w:sz w:val="20"/>
                <w:szCs w:val="20"/>
              </w:rPr>
              <w:t xml:space="preserve">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213</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rPr>
              <w:t>农林水支出</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50.35</w:t>
            </w:r>
            <w:r>
              <w:rPr>
                <w:rFonts w:hint="eastAsia" w:ascii="宋体" w:hAnsi="宋体" w:cs="宋体"/>
                <w:color w:val="000000"/>
                <w:kern w:val="0"/>
                <w:sz w:val="20"/>
                <w:szCs w:val="20"/>
              </w:rPr>
              <w:t xml:space="preserve"> </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50.35</w:t>
            </w:r>
            <w:r>
              <w:rPr>
                <w:rFonts w:hint="eastAsia" w:ascii="宋体" w:hAnsi="宋体" w:cs="宋体"/>
                <w:color w:val="000000"/>
                <w:kern w:val="0"/>
                <w:sz w:val="20"/>
                <w:szCs w:val="20"/>
              </w:rPr>
              <w:t xml:space="preserve">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213</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01</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rPr>
              <w:t>农业农村</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50.35</w:t>
            </w:r>
            <w:r>
              <w:rPr>
                <w:rFonts w:hint="eastAsia" w:ascii="宋体" w:hAnsi="宋体" w:cs="宋体"/>
                <w:color w:val="000000"/>
                <w:kern w:val="0"/>
                <w:sz w:val="20"/>
                <w:szCs w:val="20"/>
              </w:rPr>
              <w:t xml:space="preserve"> </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50.35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213</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01</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04</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rPr>
              <w:t>事业运行</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50.35</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50.35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221</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r>
              <w:rPr>
                <w:rFonts w:hint="eastAsia"/>
              </w:rPr>
              <w:t>住房保障支出</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3.78</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3.78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221</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02</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rPr>
              <w:t>住房改革支出</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3.78</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3.78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221</w:t>
            </w: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02</w:t>
            </w: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01</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rPr>
              <w:t>住房公积金</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3.78</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3.78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  计</w:t>
            </w: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rPr>
              <w:t>59.18</w:t>
            </w:r>
          </w:p>
        </w:tc>
        <w:tc>
          <w:tcPr>
            <w:tcW w:w="184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59.18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bl>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表六：</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Layout w:type="fixed"/>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p>
            <w:pPr>
              <w:widowControl/>
              <w:spacing w:before="120" w:beforeLines="50" w:line="280" w:lineRule="exact"/>
              <w:outlineLvl w:val="1"/>
              <w:rPr>
                <w:rFonts w:ascii="仿宋_GB2312" w:hAnsi="宋体" w:eastAsia="仿宋_GB2312"/>
                <w:kern w:val="0"/>
                <w:szCs w:val="21"/>
              </w:rPr>
            </w:pPr>
            <w:r>
              <w:rPr>
                <w:rFonts w:hint="eastAsia" w:ascii="仿宋_GB2312" w:hAnsi="宋体" w:eastAsia="仿宋_GB2312"/>
                <w:kern w:val="0"/>
                <w:szCs w:val="21"/>
              </w:rPr>
              <w:t>编制部门：伊州区设施农业服务中心部门                                 单位：万元</w:t>
            </w:r>
          </w:p>
        </w:tc>
      </w:tr>
      <w:tr>
        <w:tblPrEx>
          <w:tblLayout w:type="fixed"/>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工资福利支出</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57.</w:t>
            </w:r>
            <w:r>
              <w:t>32</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57.</w:t>
            </w:r>
            <w:r>
              <w:t>32</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01</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基本工资</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18.69</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18.69</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02</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津贴补贴</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13.32</w:t>
            </w:r>
          </w:p>
        </w:tc>
        <w:tc>
          <w:tcPr>
            <w:tcW w:w="1701" w:type="dxa"/>
            <w:tcBorders>
              <w:top w:val="nil"/>
              <w:left w:val="nil"/>
              <w:bottom w:val="single" w:color="auto" w:sz="4" w:space="0"/>
              <w:right w:val="single" w:color="auto" w:sz="4" w:space="0"/>
            </w:tcBorders>
            <w:vAlign w:val="center"/>
          </w:tcPr>
          <w:p>
            <w:pPr>
              <w:widowControl/>
              <w:ind w:right="147" w:rightChars="70"/>
              <w:jc w:val="right"/>
              <w:rPr>
                <w:rFonts w:ascii="宋体" w:hAnsi="宋体" w:cs="宋体"/>
                <w:color w:val="000000"/>
                <w:kern w:val="0"/>
                <w:sz w:val="20"/>
                <w:szCs w:val="20"/>
              </w:rPr>
            </w:pPr>
            <w:r>
              <w:rPr>
                <w:rFonts w:hint="eastAsia"/>
              </w:rPr>
              <w:t>13.32</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03</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奖金</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1.56</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1.56</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08</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机关事业单位基本养老保险缴费</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5.05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5.05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10</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职工基本医疗保险缴费</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2.84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2.84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12</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其他社会保险缴费</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0.13</w:t>
            </w:r>
          </w:p>
        </w:tc>
        <w:tc>
          <w:tcPr>
            <w:tcW w:w="1701" w:type="dxa"/>
            <w:tcBorders>
              <w:top w:val="nil"/>
              <w:left w:val="nil"/>
              <w:bottom w:val="single" w:color="auto" w:sz="4" w:space="0"/>
              <w:right w:val="single" w:color="auto" w:sz="4" w:space="0"/>
            </w:tcBorders>
            <w:vAlign w:val="center"/>
          </w:tcPr>
          <w:p>
            <w:pPr>
              <w:widowControl/>
              <w:ind w:right="147" w:rightChars="70"/>
              <w:jc w:val="right"/>
              <w:rPr>
                <w:rFonts w:ascii="宋体" w:hAnsi="宋体" w:cs="宋体"/>
                <w:color w:val="000000"/>
                <w:kern w:val="0"/>
                <w:sz w:val="20"/>
                <w:szCs w:val="20"/>
              </w:rPr>
            </w:pPr>
            <w:r>
              <w:rPr>
                <w:rFonts w:hint="eastAsia"/>
              </w:rPr>
              <w:t>0.13</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13</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住房公积金</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3.78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3.78</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301</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99</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其他工资福利支出</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11.</w:t>
            </w:r>
            <w:r>
              <w:t>95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11.</w:t>
            </w:r>
            <w:r>
              <w:t>95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302</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商品和服务支出</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1.8</w:t>
            </w:r>
            <w:r>
              <w:t>6</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1.8</w:t>
            </w:r>
            <w:r>
              <w:t>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302</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01</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办公费</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0.5</w:t>
            </w:r>
            <w:r>
              <w:t>0</w:t>
            </w:r>
          </w:p>
        </w:tc>
        <w:tc>
          <w:tcPr>
            <w:tcW w:w="1701" w:type="dxa"/>
            <w:tcBorders>
              <w:top w:val="nil"/>
              <w:left w:val="nil"/>
              <w:bottom w:val="single" w:color="auto" w:sz="4" w:space="0"/>
              <w:right w:val="single" w:color="auto" w:sz="4" w:space="0"/>
            </w:tcBorders>
            <w:vAlign w:val="center"/>
          </w:tcPr>
          <w:p>
            <w:pPr>
              <w:widowControl/>
              <w:ind w:right="147" w:rightChars="70"/>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0.5</w:t>
            </w:r>
            <w:r>
              <w:t>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302</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04</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手续费</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0.1</w:t>
            </w:r>
            <w:r>
              <w:t>0</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0.1</w:t>
            </w:r>
            <w:r>
              <w:t>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302</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08</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取暖费</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0.43</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0.43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302</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28</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工会经费</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0.4</w:t>
            </w:r>
            <w:r>
              <w:t>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0.4</w:t>
            </w:r>
            <w:r>
              <w:t>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302</w:t>
            </w: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rPr>
              <w:t>29</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rPr>
              <w:t>福利费</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0.39</w:t>
            </w:r>
          </w:p>
        </w:tc>
        <w:tc>
          <w:tcPr>
            <w:tcW w:w="1701" w:type="dxa"/>
            <w:tcBorders>
              <w:top w:val="nil"/>
              <w:left w:val="nil"/>
              <w:bottom w:val="single" w:color="auto" w:sz="4" w:space="0"/>
              <w:right w:val="single" w:color="auto" w:sz="4" w:space="0"/>
            </w:tcBorders>
            <w:vAlign w:val="center"/>
          </w:tcPr>
          <w:p>
            <w:pPr>
              <w:widowControl/>
              <w:ind w:right="147" w:rightChars="70"/>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0.39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ind w:right="147" w:rightChars="70"/>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  计</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t>59.18</w:t>
            </w:r>
          </w:p>
        </w:tc>
        <w:tc>
          <w:tcPr>
            <w:tcW w:w="1701" w:type="dxa"/>
            <w:tcBorders>
              <w:top w:val="nil"/>
              <w:left w:val="nil"/>
              <w:bottom w:val="single" w:color="auto" w:sz="4" w:space="0"/>
              <w:right w:val="single" w:color="auto" w:sz="4" w:space="0"/>
            </w:tcBorders>
            <w:vAlign w:val="center"/>
          </w:tcPr>
          <w:p>
            <w:pPr>
              <w:widowControl/>
              <w:ind w:right="147" w:rightChars="70"/>
              <w:jc w:val="right"/>
              <w:rPr>
                <w:rFonts w:ascii="宋体" w:hAnsi="宋体" w:cs="宋体"/>
                <w:color w:val="000000"/>
                <w:kern w:val="0"/>
                <w:sz w:val="20"/>
                <w:szCs w:val="20"/>
              </w:rPr>
            </w:pPr>
            <w:r>
              <w:rPr>
                <w:rFonts w:hint="eastAsia"/>
              </w:rPr>
              <w:t>57.</w:t>
            </w:r>
            <w:r>
              <w:t>32</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1.8</w:t>
            </w:r>
            <w:r>
              <w:t>6</w:t>
            </w:r>
          </w:p>
        </w:tc>
      </w:tr>
    </w:tbl>
    <w:p>
      <w:pPr>
        <w:widowControl/>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7"/>
        <w:tblW w:w="9540" w:type="dxa"/>
        <w:tblInd w:w="-360" w:type="dxa"/>
        <w:tblLayout w:type="fixed"/>
        <w:tblCellMar>
          <w:top w:w="0" w:type="dxa"/>
          <w:left w:w="108" w:type="dxa"/>
          <w:bottom w:w="0" w:type="dxa"/>
          <w:right w:w="108" w:type="dxa"/>
        </w:tblCellMar>
      </w:tblPr>
      <w:tblGrid>
        <w:gridCol w:w="8"/>
        <w:gridCol w:w="389"/>
        <w:gridCol w:w="397"/>
        <w:gridCol w:w="397"/>
        <w:gridCol w:w="851"/>
        <w:gridCol w:w="1456"/>
        <w:gridCol w:w="750"/>
        <w:gridCol w:w="110"/>
        <w:gridCol w:w="459"/>
        <w:gridCol w:w="536"/>
        <w:gridCol w:w="652"/>
        <w:gridCol w:w="652"/>
        <w:gridCol w:w="378"/>
        <w:gridCol w:w="200"/>
        <w:gridCol w:w="419"/>
        <w:gridCol w:w="578"/>
        <w:gridCol w:w="420"/>
        <w:gridCol w:w="420"/>
        <w:gridCol w:w="389"/>
        <w:gridCol w:w="79"/>
      </w:tblGrid>
      <w:tr>
        <w:tblPrEx>
          <w:tblLayout w:type="fixed"/>
          <w:tblCellMar>
            <w:top w:w="0" w:type="dxa"/>
            <w:left w:w="108" w:type="dxa"/>
            <w:bottom w:w="0" w:type="dxa"/>
            <w:right w:w="108" w:type="dxa"/>
          </w:tblCellMar>
        </w:tblPrEx>
        <w:trPr>
          <w:gridBefore w:val="1"/>
          <w:gridAfter w:val="1"/>
          <w:wBefore w:w="8" w:type="dxa"/>
          <w:wAfter w:w="79" w:type="dxa"/>
          <w:trHeight w:val="375" w:hRule="atLeast"/>
        </w:trPr>
        <w:tc>
          <w:tcPr>
            <w:tcW w:w="9453" w:type="dxa"/>
            <w:gridSpan w:val="18"/>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9" w:type="dxa"/>
          <w:trHeight w:val="405" w:hRule="atLeast"/>
        </w:trPr>
        <w:tc>
          <w:tcPr>
            <w:tcW w:w="4350" w:type="dxa"/>
            <w:gridSpan w:val="7"/>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p>
        </w:tc>
        <w:tc>
          <w:tcPr>
            <w:tcW w:w="995" w:type="dxa"/>
            <w:gridSpan w:val="2"/>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p>
        </w:tc>
        <w:tc>
          <w:tcPr>
            <w:tcW w:w="1682" w:type="dxa"/>
            <w:gridSpan w:val="3"/>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6"/>
            <w:tcBorders>
              <w:top w:val="nil"/>
              <w:left w:val="nil"/>
              <w:bottom w:val="nil"/>
              <w:right w:val="nil"/>
            </w:tcBorders>
            <w:noWrap/>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191" w:type="dxa"/>
            <w:gridSpan w:val="4"/>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851" w:type="dxa"/>
            <w:vMerge w:val="restart"/>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456" w:type="dxa"/>
            <w:vMerge w:val="restart"/>
            <w:noWrap/>
            <w:vAlign w:val="center"/>
          </w:tcPr>
          <w:p>
            <w:pPr>
              <w:jc w:val="center"/>
              <w:rPr>
                <w:sz w:val="24"/>
              </w:rPr>
            </w:pPr>
            <w:r>
              <w:rPr>
                <w:rFonts w:hint="eastAsia" w:ascii="仿宋_GB2312" w:hAnsi="宋体" w:eastAsia="仿宋_GB2312"/>
                <w:b/>
                <w:kern w:val="0"/>
                <w:sz w:val="24"/>
              </w:rPr>
              <w:t>项目名称</w:t>
            </w:r>
          </w:p>
        </w:tc>
        <w:tc>
          <w:tcPr>
            <w:tcW w:w="75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569"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536"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419"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46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397" w:type="dxa"/>
            <w:gridSpan w:val="2"/>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397" w:type="dxa"/>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397" w:type="dxa"/>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851" w:type="dxa"/>
            <w:vMerge w:val="continue"/>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456"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75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69"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36"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78"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68"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9" w:type="dxa"/>
            <w:gridSpan w:val="2"/>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bl>
    <w:p>
      <w:pPr>
        <w:widowControl/>
        <w:outlineLvl w:val="1"/>
        <w:rPr>
          <w:rFonts w:ascii="仿宋_GB2312" w:hAnsi="宋体" w:eastAsia="仿宋_GB2312"/>
          <w:b/>
          <w:kern w:val="0"/>
          <w:sz w:val="32"/>
          <w:szCs w:val="32"/>
        </w:rPr>
      </w:pPr>
      <w:r>
        <w:rPr>
          <w:rFonts w:ascii="仿宋_GB2312" w:hAnsi="宋体" w:eastAsia="仿宋_GB2312"/>
          <w:b/>
          <w:kern w:val="0"/>
          <w:sz w:val="28"/>
          <w:szCs w:val="32"/>
        </w:rPr>
        <w:t>备注：本年无</w:t>
      </w:r>
      <w:r>
        <w:rPr>
          <w:rFonts w:hint="eastAsia" w:ascii="仿宋_GB2312" w:hAnsi="宋体" w:eastAsia="仿宋_GB2312"/>
          <w:b/>
          <w:kern w:val="0"/>
          <w:sz w:val="28"/>
          <w:szCs w:val="32"/>
        </w:rPr>
        <w:t>一般公共预算</w:t>
      </w:r>
      <w:r>
        <w:rPr>
          <w:rFonts w:ascii="仿宋_GB2312" w:hAnsi="宋体" w:eastAsia="仿宋_GB2312"/>
          <w:b/>
          <w:kern w:val="0"/>
          <w:sz w:val="28"/>
          <w:szCs w:val="32"/>
        </w:rPr>
        <w:t>项目支出预算安排，此表为空表。</w:t>
      </w:r>
      <w:r>
        <w:rPr>
          <w:rFonts w:ascii="仿宋_GB2312" w:hAnsi="宋体" w:eastAsia="仿宋_GB2312"/>
          <w:b/>
          <w:kern w:val="0"/>
          <w:sz w:val="28"/>
          <w:szCs w:val="32"/>
        </w:rPr>
        <w:br w:type="page"/>
      </w:r>
      <w:r>
        <w:rPr>
          <w:rFonts w:hint="eastAsia" w:ascii="仿宋_GB2312" w:hAnsi="宋体" w:eastAsia="仿宋_GB2312"/>
          <w:b/>
          <w:kern w:val="0"/>
          <w:sz w:val="32"/>
          <w:szCs w:val="32"/>
        </w:rPr>
        <w:t>表八：</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编制部门：伊州区设施农业服务中心部门                          单位：万元</w:t>
      </w:r>
    </w:p>
    <w:tbl>
      <w:tblPr>
        <w:tblStyle w:val="7"/>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Layout w:type="fixed"/>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  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公务接待费</w:t>
            </w:r>
          </w:p>
        </w:tc>
      </w:tr>
      <w:tr>
        <w:tblPrEx>
          <w:tblLayout w:type="fixed"/>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rPr>
            </w:pP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合计</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  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备注：本年无一般公共预算“三公”经费支出预算安排，此表为空表。</w:t>
      </w: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表九：</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编制部门：伊州区设施农业服务中心部门                          单位：万元</w:t>
      </w:r>
    </w:p>
    <w:tbl>
      <w:tblPr>
        <w:tblStyle w:val="7"/>
        <w:tblW w:w="9214" w:type="dxa"/>
        <w:tblInd w:w="-34" w:type="dxa"/>
        <w:tblLayout w:type="fixed"/>
        <w:tblCellMar>
          <w:top w:w="0" w:type="dxa"/>
          <w:left w:w="108" w:type="dxa"/>
          <w:bottom w:w="0" w:type="dxa"/>
          <w:right w:w="108" w:type="dxa"/>
        </w:tblCellMar>
      </w:tblPr>
      <w:tblGrid>
        <w:gridCol w:w="585"/>
        <w:gridCol w:w="457"/>
        <w:gridCol w:w="699"/>
        <w:gridCol w:w="2544"/>
        <w:gridCol w:w="1669"/>
        <w:gridCol w:w="1701"/>
        <w:gridCol w:w="1559"/>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929"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Layout w:type="fixed"/>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66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Layout w:type="fixed"/>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5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66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r>
              <w:rPr>
                <w:rFonts w:hint="eastAsia" w:ascii="仿宋_GB2312" w:hAnsi="宋体" w:eastAsia="仿宋_GB2312" w:cs="宋体"/>
                <w:b/>
                <w:bCs/>
                <w:color w:val="000000"/>
                <w:kern w:val="0"/>
                <w:sz w:val="24"/>
              </w:rPr>
              <w:t>合  计</w:t>
            </w: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bl>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备注：本年无政府性基金预算支出预算安排，此表为空表。</w:t>
      </w:r>
    </w:p>
    <w:p>
      <w:pPr>
        <w:widowControl/>
        <w:spacing w:line="280" w:lineRule="exact"/>
        <w:jc w:val="left"/>
        <w:outlineLvl w:val="1"/>
        <w:rPr>
          <w:rFonts w:ascii="仿宋_GB2312" w:hAnsi="宋体" w:eastAsia="仿宋_GB2312"/>
          <w:kern w:val="0"/>
          <w:sz w:val="32"/>
          <w:szCs w:val="32"/>
        </w:rPr>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2021年伊州区设施农业服务中心部门预算情况说明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黑体" w:eastAsia="黑体"/>
          <w:kern w:val="0"/>
          <w:sz w:val="32"/>
          <w:szCs w:val="32"/>
        </w:rPr>
        <w:t>一、关于哈密市伊州区设施农业服务中心</w:t>
      </w:r>
      <w:r>
        <w:rPr>
          <w:rFonts w:hint="eastAsia" w:ascii="黑体" w:hAnsi="宋体" w:eastAsia="黑体" w:cs="宋体"/>
          <w:kern w:val="0"/>
          <w:sz w:val="32"/>
          <w:szCs w:val="32"/>
        </w:rPr>
        <w:t>部门2021年收支预算情况的总体说明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按照全口径预算的原则，哈密市伊州区设施农业服务中心部门2021年所有收入和支出均纳入部门预算管理。收支总预算59.18万元。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支出预算包括：社会保障和就业支出、农林水支出、住房保障支出等。</w:t>
      </w:r>
    </w:p>
    <w:p>
      <w:pPr>
        <w:spacing w:line="560" w:lineRule="exact"/>
        <w:ind w:firstLine="643" w:firstLineChars="200"/>
        <w:rPr>
          <w:rFonts w:ascii="仿宋_GB2312" w:hAnsi="宋体" w:eastAsia="仿宋_GB2312" w:cs="宋体"/>
          <w:b/>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二、关于哈密市伊州区设施农业服务中心部门2021年收入预算情况说明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哈密市伊州区设施农业服务中心部门收入预算59.18万元，其中：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一般公共预算59.18万元，占100%，比上年增加20.82万元，主要原因是基本支出中个人部分支出增加。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三、关于哈密市伊州区设施农业服务中心部门2021年支出预算情况说明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哈密市伊州区设施农业服务中心部门2021年支出预算59.18万元，其中：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基本支出59.18万元，占100%，比上年增加20.82万元，主要原因是基本支出中个人部分支出增加。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%，比上年增加0万元，主要原因是本年无此项支出。</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四、关于哈密市伊州区设施农业服务中心部门2021年财政拨款收支预算情况的总体说明</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2021年财政拨款收</w:t>
      </w:r>
      <w:r>
        <w:rPr>
          <w:rFonts w:hint="eastAsia" w:ascii="仿宋_GB2312" w:hAnsi="宋体" w:eastAsia="仿宋_GB2312" w:cs="宋体"/>
          <w:spacing w:val="-6"/>
          <w:kern w:val="0"/>
          <w:sz w:val="32"/>
          <w:szCs w:val="32"/>
        </w:rPr>
        <w:t>支总预算59.18万元。</w:t>
      </w:r>
    </w:p>
    <w:p>
      <w:pPr>
        <w:spacing w:line="56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b/>
          <w:spacing w:val="-6"/>
          <w:kern w:val="0"/>
          <w:sz w:val="32"/>
          <w:szCs w:val="32"/>
        </w:rPr>
      </w:pPr>
      <w:r>
        <w:rPr>
          <w:rFonts w:hint="eastAsia" w:ascii="仿宋_GB2312" w:hAnsi="宋体" w:eastAsia="仿宋_GB2312" w:cs="宋体"/>
          <w:kern w:val="0"/>
          <w:sz w:val="32"/>
          <w:szCs w:val="32"/>
        </w:rPr>
        <w:t>收入预算包括：一般公共预算拨款</w:t>
      </w:r>
      <w:r>
        <w:rPr>
          <w:rFonts w:hint="eastAsia" w:ascii="仿宋_GB2312" w:hAnsi="宋体" w:eastAsia="仿宋_GB2312" w:cs="宋体"/>
          <w:spacing w:val="-6"/>
          <w:kern w:val="0"/>
          <w:sz w:val="32"/>
          <w:szCs w:val="32"/>
        </w:rPr>
        <w:t>59.18</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支出预算包括：20</w:t>
      </w:r>
      <w:r>
        <w:rPr>
          <w:rFonts w:ascii="仿宋_GB2312" w:hAnsi="宋体" w:eastAsia="仿宋_GB2312" w:cs="宋体"/>
          <w:kern w:val="0"/>
          <w:sz w:val="32"/>
          <w:szCs w:val="32"/>
        </w:rPr>
        <w:t>8</w:t>
      </w:r>
      <w:r>
        <w:rPr>
          <w:rFonts w:hint="eastAsia" w:ascii="仿宋_GB2312" w:hAnsi="宋体" w:eastAsia="仿宋_GB2312" w:cs="宋体"/>
          <w:kern w:val="0"/>
          <w:sz w:val="32"/>
          <w:szCs w:val="32"/>
        </w:rPr>
        <w:t>社会保障和就业支出5</w:t>
      </w:r>
      <w:r>
        <w:rPr>
          <w:rFonts w:ascii="仿宋_GB2312" w:hAnsi="宋体" w:eastAsia="仿宋_GB2312" w:cs="宋体"/>
          <w:kern w:val="0"/>
          <w:sz w:val="32"/>
          <w:szCs w:val="32"/>
        </w:rPr>
        <w:t>.05</w:t>
      </w:r>
      <w:r>
        <w:rPr>
          <w:rFonts w:hint="eastAsia" w:ascii="仿宋_GB2312" w:hAnsi="宋体" w:eastAsia="仿宋_GB2312" w:cs="宋体"/>
          <w:kern w:val="0"/>
          <w:sz w:val="32"/>
          <w:szCs w:val="32"/>
        </w:rPr>
        <w:t>万元，主要用于机关事业单位基本养老保险缴费支出，2</w:t>
      </w:r>
      <w:r>
        <w:rPr>
          <w:rFonts w:ascii="仿宋_GB2312" w:hAnsi="宋体" w:eastAsia="仿宋_GB2312" w:cs="宋体"/>
          <w:kern w:val="0"/>
          <w:sz w:val="32"/>
          <w:szCs w:val="32"/>
        </w:rPr>
        <w:t>13</w:t>
      </w:r>
      <w:r>
        <w:rPr>
          <w:rFonts w:hint="eastAsia" w:ascii="仿宋_GB2312" w:hAnsi="宋体" w:eastAsia="仿宋_GB2312" w:cs="宋体"/>
          <w:kern w:val="0"/>
          <w:sz w:val="32"/>
          <w:szCs w:val="32"/>
        </w:rPr>
        <w:t>农林水支出5</w:t>
      </w:r>
      <w:r>
        <w:rPr>
          <w:rFonts w:ascii="仿宋_GB2312" w:hAnsi="宋体" w:eastAsia="仿宋_GB2312" w:cs="宋体"/>
          <w:kern w:val="0"/>
          <w:sz w:val="32"/>
          <w:szCs w:val="32"/>
        </w:rPr>
        <w:t>0.35</w:t>
      </w:r>
      <w:r>
        <w:rPr>
          <w:rFonts w:hint="eastAsia" w:ascii="仿宋_GB2312" w:hAnsi="宋体" w:eastAsia="仿宋_GB2312" w:cs="宋体"/>
          <w:kern w:val="0"/>
          <w:sz w:val="32"/>
          <w:szCs w:val="32"/>
        </w:rPr>
        <w:t>万元，主要用于人员经费和公用经费支出，2</w:t>
      </w:r>
      <w:r>
        <w:rPr>
          <w:rFonts w:ascii="仿宋_GB2312" w:hAnsi="宋体" w:eastAsia="仿宋_GB2312" w:cs="宋体"/>
          <w:kern w:val="0"/>
          <w:sz w:val="32"/>
          <w:szCs w:val="32"/>
        </w:rPr>
        <w:t>21</w:t>
      </w:r>
      <w:r>
        <w:rPr>
          <w:rFonts w:hint="eastAsia" w:ascii="仿宋_GB2312" w:hAnsi="宋体" w:eastAsia="仿宋_GB2312" w:cs="宋体"/>
          <w:kern w:val="0"/>
          <w:sz w:val="32"/>
          <w:szCs w:val="32"/>
        </w:rPr>
        <w:t>住房保障支出</w:t>
      </w:r>
      <w:r>
        <w:rPr>
          <w:rFonts w:ascii="仿宋_GB2312" w:hAnsi="宋体" w:eastAsia="仿宋_GB2312" w:cs="宋体"/>
          <w:kern w:val="0"/>
          <w:sz w:val="32"/>
          <w:szCs w:val="32"/>
        </w:rPr>
        <w:t>3.78</w:t>
      </w:r>
      <w:r>
        <w:rPr>
          <w:rFonts w:hint="eastAsia" w:ascii="仿宋_GB2312" w:hAnsi="宋体" w:eastAsia="仿宋_GB2312" w:cs="宋体"/>
          <w:kern w:val="0"/>
          <w:sz w:val="32"/>
          <w:szCs w:val="32"/>
        </w:rPr>
        <w:t>万元，主要用于住房公积金缴费。</w:t>
      </w:r>
    </w:p>
    <w:p>
      <w:pPr>
        <w:spacing w:line="560" w:lineRule="exact"/>
        <w:ind w:firstLine="640" w:firstLineChars="200"/>
        <w:rPr>
          <w:rFonts w:ascii="黑体" w:hAnsi="宋体" w:eastAsia="黑体"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五、关于哈密市伊州区设施农业服务中心部门2021年一般公共预算当年拨款情况说明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（一）一般公共预算当年拨款规模变化情况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哈密市伊州区设施农业服务中心部门20</w:t>
      </w:r>
      <w:r>
        <w:rPr>
          <w:rFonts w:ascii="仿宋_GB2312" w:hAnsi="宋体" w:eastAsia="仿宋_GB2312" w:cs="宋体"/>
          <w:kern w:val="0"/>
          <w:sz w:val="32"/>
          <w:szCs w:val="32"/>
        </w:rPr>
        <w:t>21</w:t>
      </w:r>
      <w:r>
        <w:rPr>
          <w:rFonts w:hint="eastAsia" w:ascii="仿宋_GB2312" w:hAnsi="宋体" w:eastAsia="仿宋_GB2312" w:cs="宋体"/>
          <w:kern w:val="0"/>
          <w:sz w:val="32"/>
          <w:szCs w:val="32"/>
        </w:rPr>
        <w:t>年一般公共预算拨款共计59.18万元，其中：基本支出59.18万元，比上年预算增加20.82万元，增长</w:t>
      </w:r>
      <w:r>
        <w:rPr>
          <w:rFonts w:ascii="仿宋_GB2312" w:hAnsi="宋体" w:eastAsia="仿宋_GB2312" w:cs="宋体"/>
          <w:kern w:val="0"/>
          <w:sz w:val="32"/>
          <w:szCs w:val="32"/>
        </w:rPr>
        <w:t>54.28</w:t>
      </w:r>
      <w:r>
        <w:rPr>
          <w:rFonts w:hint="eastAsia" w:ascii="仿宋_GB2312" w:hAnsi="宋体" w:eastAsia="仿宋_GB2312" w:cs="宋体"/>
          <w:kern w:val="0"/>
          <w:sz w:val="32"/>
          <w:szCs w:val="32"/>
        </w:rPr>
        <w:t>%。主要原因是：基本支出中个人部分支出增加</w:t>
      </w:r>
      <w:r>
        <w:rPr>
          <w:rFonts w:hint="eastAsia" w:ascii="仿宋_GB2312" w:hAnsi="宋体" w:eastAsia="仿宋_GB2312" w:cs="宋体"/>
          <w:spacing w:val="-6"/>
          <w:kern w:val="0"/>
          <w:sz w:val="32"/>
          <w:szCs w:val="32"/>
        </w:rPr>
        <w:t>；</w:t>
      </w:r>
      <w:r>
        <w:rPr>
          <w:rFonts w:ascii="仿宋_GB2312" w:hAnsi="宋体" w:eastAsia="仿宋_GB2312" w:cs="宋体"/>
          <w:spacing w:val="-6"/>
          <w:kern w:val="0"/>
          <w:sz w:val="32"/>
          <w:szCs w:val="32"/>
        </w:rPr>
        <w:t>项目支出0万元，比上年预算增加0万元，增长0%，主要原因是：本年未安排一般公共预算</w:t>
      </w:r>
      <w:r>
        <w:rPr>
          <w:rFonts w:hint="eastAsia" w:ascii="仿宋_GB2312" w:hAnsi="宋体" w:eastAsia="仿宋_GB2312" w:cs="宋体"/>
          <w:spacing w:val="-6"/>
          <w:kern w:val="0"/>
          <w:sz w:val="32"/>
          <w:szCs w:val="32"/>
        </w:rPr>
        <w:t>项</w:t>
      </w:r>
      <w:r>
        <w:rPr>
          <w:rFonts w:ascii="仿宋_GB2312" w:hAnsi="宋体" w:eastAsia="仿宋_GB2312" w:cs="宋体"/>
          <w:spacing w:val="-6"/>
          <w:kern w:val="0"/>
          <w:sz w:val="32"/>
          <w:szCs w:val="32"/>
        </w:rPr>
        <w:t>目支出预算。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1.社会保障和就业支出（208类）5.05万元，占8.53%。</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2.</w:t>
      </w:r>
      <w:r>
        <w:rPr>
          <w:rFonts w:hint="eastAsia" w:ascii="仿宋_GB2312" w:hAnsi="宋体" w:eastAsia="仿宋_GB2312" w:cs="宋体"/>
          <w:kern w:val="0"/>
          <w:sz w:val="32"/>
          <w:szCs w:val="32"/>
        </w:rPr>
        <w:t>农林水支出（213类）50.35万元，占85.08%。</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3</w:t>
      </w:r>
      <w:r>
        <w:rPr>
          <w:rFonts w:hint="eastAsia" w:ascii="仿宋_GB2312" w:hAnsi="宋体" w:eastAsia="仿宋_GB2312" w:cs="宋体"/>
          <w:kern w:val="0"/>
          <w:sz w:val="32"/>
          <w:szCs w:val="32"/>
        </w:rPr>
        <w:t>.住房保障支出（221类）3.78万元，占6.39%。</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w:t>
      </w:r>
      <w:bookmarkStart w:id="0" w:name="_GoBack"/>
      <w:bookmarkEnd w:id="0"/>
      <w:r>
        <w:rPr>
          <w:rFonts w:hint="eastAsia" w:ascii="仿宋_GB2312" w:hAnsi="宋体" w:eastAsia="仿宋_GB2312" w:cs="宋体"/>
          <w:kern w:val="0"/>
          <w:sz w:val="32"/>
          <w:szCs w:val="32"/>
          <w:lang w:eastAsia="zh-CN"/>
        </w:rPr>
        <w:t>社会保障和就业支出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208类</w:t>
      </w:r>
      <w:r>
        <w:rPr>
          <w:rFonts w:ascii="仿宋_GB2312" w:hAnsi="宋体" w:eastAsia="仿宋_GB2312" w:cs="宋体"/>
          <w:kern w:val="0"/>
          <w:sz w:val="32"/>
          <w:szCs w:val="32"/>
        </w:rPr>
        <w:t>）</w:t>
      </w:r>
      <w:r>
        <w:rPr>
          <w:rFonts w:hint="eastAsia" w:ascii="仿宋_GB2312" w:hAnsi="宋体" w:eastAsia="仿宋_GB2312" w:cs="宋体"/>
          <w:kern w:val="0"/>
          <w:sz w:val="32"/>
          <w:szCs w:val="32"/>
        </w:rPr>
        <w:t>行政事业单位养老支出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05款</w:t>
      </w:r>
      <w:r>
        <w:rPr>
          <w:rFonts w:ascii="仿宋_GB2312" w:hAnsi="宋体" w:eastAsia="仿宋_GB2312" w:cs="宋体"/>
          <w:kern w:val="0"/>
          <w:sz w:val="32"/>
          <w:szCs w:val="32"/>
        </w:rPr>
        <w:t>）</w:t>
      </w:r>
      <w:r>
        <w:rPr>
          <w:rFonts w:hint="eastAsia" w:ascii="仿宋_GB2312" w:hAnsi="宋体" w:eastAsia="仿宋_GB2312" w:cs="宋体"/>
          <w:kern w:val="0"/>
          <w:sz w:val="32"/>
          <w:szCs w:val="32"/>
        </w:rPr>
        <w:t>机关事业单位养老保险缴费支出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05项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2020</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3.76</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比上年预算增加1.29万元，增长34.31%，主要原因是：人员增加，机关事业单位养老保险缴费支出增加。</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2.农林水支出（213类）农业（01款）事业运行（04项）:2020年预算数31.79万元，比上年预算增加27.39万元，增长86.16%，主要原因是：人员增加，人员经费增加。</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3.住房保障支出（221类）住房改革支出（02款）住房公积金（01项）：2020年预算数2.82万元，比上年预算增加0.96万元，增长34.04%，主要原因是人员增加，住房公积金缴费增加。</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六、关于哈密市伊州区设施农业服务中心部门2021年一般公共预算基本支出情况说明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哈密市伊州区设施农业服务中心部门2021年一般公共预算基本支出59.18万元，其中：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人员经费57.32万元，主要包括：基本工资、津贴补贴、奖金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机关事业单位基本养老保险缴费、职工基本医疗保险缴费、其他社会保障缴费、住房公积金、其他工资福利支出等。</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公用经费1.86万元，主要包括：办公费、手续费、取暖费、工会经费、福利费等。</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七、关于哈密市伊州区设施农业服务中心部门2021年一般公共预算项目支出情况说明</w:t>
      </w:r>
    </w:p>
    <w:p>
      <w:pPr>
        <w:spacing w:line="560" w:lineRule="exact"/>
        <w:ind w:firstLine="616" w:firstLineChars="200"/>
        <w:rPr>
          <w:rFonts w:ascii="仿宋_GB2312" w:hAnsi="宋体" w:eastAsia="仿宋_GB2312"/>
          <w:sz w:val="32"/>
        </w:rPr>
      </w:pPr>
      <w:r>
        <w:rPr>
          <w:rFonts w:ascii="仿宋_GB2312" w:hAnsi="宋体" w:eastAsia="仿宋_GB2312" w:cs="宋体"/>
          <w:spacing w:val="-6"/>
          <w:kern w:val="0"/>
          <w:sz w:val="32"/>
          <w:szCs w:val="32"/>
        </w:rPr>
        <w:t>我单位本年无</w:t>
      </w:r>
      <w:r>
        <w:rPr>
          <w:rFonts w:hint="eastAsia" w:ascii="仿宋_GB2312" w:hAnsi="宋体" w:eastAsia="仿宋_GB2312" w:cs="宋体"/>
          <w:spacing w:val="-6"/>
          <w:kern w:val="0"/>
          <w:sz w:val="32"/>
          <w:szCs w:val="32"/>
        </w:rPr>
        <w:t>一般公共预算</w:t>
      </w:r>
      <w:r>
        <w:rPr>
          <w:rFonts w:ascii="仿宋_GB2312" w:hAnsi="宋体" w:eastAsia="仿宋_GB2312" w:cs="宋体"/>
          <w:spacing w:val="-6"/>
          <w:kern w:val="0"/>
          <w:sz w:val="32"/>
          <w:szCs w:val="32"/>
        </w:rPr>
        <w:t>项目支出预算安排，一般公共预算项目支出情况表为空表。</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八、关于哈密市伊州区设施农业服务中心部门2021年一般公共预算“三公”经费预算情况说明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哈密市伊州区设施农业服务中心部门2021年一般公共预算“三公”经费数为0万元，其中：因公出国（境）费0万元，公务用车购置0万元，公务用车运行费0万元，公务接待费0万元。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一般公共预算“三公”经费比上年0万元，其中：因公出国（境）费增加0万元，主要原因是未安排预算；公务用车购置费为0万元，主要原因是未安排预算；公务用车运行费0万元，主要原因是未安排预算；公务接待费0万元，主要原因是无三公经费。</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九、关于哈密市伊州区设施农业服务中心部门2021年政府性基金预算拨款情况说明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哈密市伊州区设施农业服务中心部门2021年没有使用政府性基金预算拨款安排的支出，政府性基金预算支出情况表为空表。</w:t>
      </w:r>
    </w:p>
    <w:p>
      <w:pPr>
        <w:spacing w:line="560" w:lineRule="exact"/>
        <w:ind w:firstLine="643" w:firstLineChars="200"/>
        <w:rPr>
          <w:rFonts w:ascii="仿宋_GB2312" w:hAnsi="宋体" w:eastAsia="仿宋_GB2312" w:cs="宋体"/>
          <w:b/>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2021年，哈密市伊州区设施农业服务中心部门的机关运行经费财政拨款预算1.86万元，比上年预算减少0.24万元，下降11.43%。主要原因是压缩经费。</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2021年，哈密市伊州区设施农业服务中心部门政府采购预算0万元，其中：政府采购货物预算0万元，政府采购工程预算0万元，政府采购服务预算0万元。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2021年度部门面向中小企业预留政府采购项目预算金额0万元，其中：面向小微企业预留政府采购项目预算金额0万元。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w:t>
      </w:r>
      <w:r>
        <w:rPr>
          <w:rFonts w:ascii="仿宋_GB2312" w:hAnsi="宋体" w:eastAsia="仿宋_GB2312" w:cs="宋体"/>
          <w:kern w:val="0"/>
          <w:sz w:val="32"/>
          <w:szCs w:val="32"/>
        </w:rPr>
        <w:t>0</w:t>
      </w:r>
      <w:r>
        <w:rPr>
          <w:rFonts w:hint="eastAsia" w:ascii="仿宋_GB2312" w:hAnsi="宋体" w:eastAsia="仿宋_GB2312" w:cs="宋体"/>
          <w:kern w:val="0"/>
          <w:sz w:val="32"/>
          <w:szCs w:val="32"/>
        </w:rPr>
        <w:t>年底，哈密市伊州区设施农业服务中心部门及下属各预算单位占用使用国有资产总体情况为</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4.其他资产价值1.9</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2021年部门预算未安排购置车辆经费，安排购置50万元以上大型设备0台（套），单位价值100万元以上大型设备0台（套）。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2021年度，本年度实行绩效管理的一般公共预算项目0个，涉及预算金额0万元。具体情况见下表（按项目分别填报）：</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7"/>
        <w:tblW w:w="8815" w:type="dxa"/>
        <w:tblInd w:w="0" w:type="dxa"/>
        <w:tblLayout w:type="fixed"/>
        <w:tblCellMar>
          <w:top w:w="0" w:type="dxa"/>
          <w:left w:w="0" w:type="dxa"/>
          <w:bottom w:w="0" w:type="dxa"/>
          <w:right w:w="0" w:type="dxa"/>
        </w:tblCellMar>
      </w:tblPr>
      <w:tblGrid>
        <w:gridCol w:w="960"/>
        <w:gridCol w:w="1452"/>
        <w:gridCol w:w="1224"/>
        <w:gridCol w:w="1476"/>
        <w:gridCol w:w="1039"/>
        <w:gridCol w:w="1481"/>
        <w:gridCol w:w="1183"/>
      </w:tblGrid>
      <w:tr>
        <w:tblPrEx>
          <w:tblLayout w:type="fixed"/>
          <w:tblCellMar>
            <w:top w:w="0" w:type="dxa"/>
            <w:left w:w="0" w:type="dxa"/>
            <w:bottom w:w="0" w:type="dxa"/>
            <w:right w:w="0" w:type="dxa"/>
          </w:tblCellMar>
        </w:tblPrEx>
        <w:trPr>
          <w:trHeight w:val="4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Layout w:type="fixed"/>
          <w:tblCellMar>
            <w:top w:w="0" w:type="dxa"/>
            <w:left w:w="0" w:type="dxa"/>
            <w:bottom w:w="0" w:type="dxa"/>
            <w:right w:w="0" w:type="dxa"/>
          </w:tblCellMar>
        </w:tblPrEx>
        <w:trPr>
          <w:trHeight w:val="3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lang w:bidi="ar"/>
              </w:rPr>
              <w:t>（2021年）</w:t>
            </w:r>
          </w:p>
        </w:tc>
      </w:tr>
      <w:tr>
        <w:tblPrEx>
          <w:tblLayout w:type="fixed"/>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预算单位</w:t>
            </w:r>
          </w:p>
        </w:tc>
        <w:tc>
          <w:tcPr>
            <w:tcW w:w="4152" w:type="dxa"/>
            <w:gridSpan w:val="3"/>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哈密市伊州区设施农业服务中心  </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项目名称</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项目资金（万元）</w:t>
            </w:r>
          </w:p>
        </w:tc>
        <w:tc>
          <w:tcPr>
            <w:tcW w:w="14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22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c>
          <w:tcPr>
            <w:tcW w:w="14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c>
          <w:tcPr>
            <w:tcW w:w="1481" w:type="dxa"/>
            <w:tcBorders>
              <w:top w:val="nil"/>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1183" w:type="dxa"/>
            <w:tcBorders>
              <w:top w:val="nil"/>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项目总体目标</w:t>
            </w:r>
          </w:p>
        </w:tc>
        <w:tc>
          <w:tcPr>
            <w:tcW w:w="7855" w:type="dxa"/>
            <w:gridSpan w:val="6"/>
            <w:tcBorders>
              <w:top w:val="single" w:color="000000" w:sz="4" w:space="0"/>
              <w:left w:val="single" w:color="000000" w:sz="4" w:space="0"/>
              <w:bottom w:val="single" w:color="000000" w:sz="4" w:space="0"/>
              <w:right w:val="single" w:color="000000" w:sz="4" w:space="0"/>
            </w:tcBorders>
            <w:tcMar>
              <w:top w:w="12" w:type="dxa"/>
              <w:left w:w="12"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一级指标</w:t>
            </w:r>
          </w:p>
        </w:tc>
        <w:tc>
          <w:tcPr>
            <w:tcW w:w="14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二级指标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三级指标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指标值（包含数字及文字描述）</w:t>
            </w:r>
          </w:p>
        </w:tc>
      </w:tr>
      <w:tr>
        <w:tblPrEx>
          <w:tblLayout w:type="fixed"/>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bl>
    <w:p>
      <w:pPr>
        <w:widowControl/>
        <w:spacing w:line="48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720" w:num="1"/>
          <w:docGrid w:type="lines" w:linePitch="312" w:charSpace="0"/>
        </w:sectPr>
      </w:pPr>
    </w:p>
    <w:p>
      <w:pPr>
        <w:widowControl/>
        <w:spacing w:line="48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无。</w:t>
      </w:r>
    </w:p>
    <w:p>
      <w:pPr>
        <w:widowControl/>
        <w:spacing w:line="520" w:lineRule="exact"/>
        <w:jc w:val="left"/>
        <w:rPr>
          <w:rFonts w:ascii="仿宋_GB2312" w:hAnsi="宋体" w:eastAsia="仿宋_GB2312" w:cs="宋体"/>
          <w:kern w:val="0"/>
          <w:sz w:val="32"/>
          <w:szCs w:val="32"/>
        </w:rPr>
      </w:pPr>
    </w:p>
    <w:p>
      <w:pPr>
        <w:widowControl/>
        <w:jc w:val="left"/>
        <w:rPr>
          <w:rFonts w:ascii="黑体" w:hAnsi="黑体" w:eastAsia="黑体"/>
          <w:kern w:val="0"/>
          <w:sz w:val="32"/>
          <w:szCs w:val="32"/>
        </w:rPr>
      </w:pPr>
      <w:r>
        <w:rPr>
          <w:rFonts w:ascii="黑体" w:hAnsi="黑体" w:eastAsia="黑体"/>
          <w:kern w:val="0"/>
          <w:sz w:val="32"/>
          <w:szCs w:val="32"/>
        </w:rPr>
        <w:br w:type="page"/>
      </w: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156"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hint="eastAsia" w:ascii="仿宋_GB2312" w:eastAsia="仿宋_GB2312"/>
          <w:sz w:val="32"/>
          <w:szCs w:val="32"/>
          <w:lang w:eastAsia="zh-CN"/>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rPr>
        <w:t>三、基本支出：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rPr>
        <w:t>四、机关运行经费：</w:t>
      </w:r>
      <w:r>
        <w:rPr>
          <w:rFonts w:hint="eastAsia" w:ascii="仿宋_GB2312" w:eastAsia="仿宋_GB2312"/>
          <w:sz w:val="32"/>
          <w:szCs w:val="32"/>
        </w:rPr>
        <w:t>指各部门的公用经费，包括办公及印刷费、邮电费、差旅费</w:t>
      </w:r>
      <w:r>
        <w:rPr>
          <w:rFonts w:hint="eastAsia" w:ascii="仿宋_GB2312" w:eastAsia="仿宋_GB2312"/>
          <w:sz w:val="32"/>
          <w:szCs w:val="32"/>
          <w:lang w:eastAsia="zh-CN"/>
        </w:rPr>
        <w:t>、</w:t>
      </w:r>
      <w:r>
        <w:rPr>
          <w:rFonts w:hint="eastAsia" w:ascii="仿宋_GB2312" w:eastAsia="仿宋_GB2312"/>
          <w:sz w:val="32"/>
          <w:szCs w:val="32"/>
        </w:rPr>
        <w:t>会议费、福利费、日常维修费、专用材料及一般设备购置费、办公用房水电费、办公用房取暖费、办公用房物业管理费、公务用车运行维护费及其他费用。</w:t>
      </w:r>
    </w:p>
    <w:p>
      <w:pPr>
        <w:spacing w:line="520" w:lineRule="exact"/>
        <w:ind w:firstLine="640"/>
        <w:rPr>
          <w:rFonts w:ascii="仿宋_GB2312" w:eastAsia="仿宋_GB2312"/>
          <w:b/>
          <w:szCs w:val="20"/>
        </w:rPr>
      </w:pP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哈密市伊州区设施农业服务中心部门</w:t>
      </w: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2021</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8</w:t>
      </w:r>
      <w:r>
        <w:rPr>
          <w:rFonts w:ascii="仿宋_GB2312" w:hAnsi="宋体" w:eastAsia="仿宋_GB2312" w:cs="宋体"/>
          <w:kern w:val="0"/>
          <w:sz w:val="32"/>
          <w:szCs w:val="32"/>
        </w:rPr>
        <w:t>日</w:t>
      </w:r>
    </w:p>
    <w:p>
      <w:pPr>
        <w:rPr>
          <w:rFonts w:ascii="仿宋_GB2312" w:hAnsi="宋体" w:eastAsia="仿宋_GB2312" w:cs="宋体"/>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12 -</w:t>
    </w:r>
    <w:r>
      <w:rPr>
        <w:rFonts w:ascii="宋体" w:hAnsi="宋体" w:eastAsia="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dit="readOnly" w:formatting="1"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425735"/>
    <w:rsid w:val="000822A6"/>
    <w:rsid w:val="000D6844"/>
    <w:rsid w:val="001718AB"/>
    <w:rsid w:val="001E5974"/>
    <w:rsid w:val="0024412F"/>
    <w:rsid w:val="0025771E"/>
    <w:rsid w:val="00292369"/>
    <w:rsid w:val="00297742"/>
    <w:rsid w:val="002A41DA"/>
    <w:rsid w:val="002B0DEA"/>
    <w:rsid w:val="002D2561"/>
    <w:rsid w:val="002E7B78"/>
    <w:rsid w:val="003030CD"/>
    <w:rsid w:val="003206F3"/>
    <w:rsid w:val="0032517A"/>
    <w:rsid w:val="0033676C"/>
    <w:rsid w:val="0035377C"/>
    <w:rsid w:val="00374B91"/>
    <w:rsid w:val="00382AE0"/>
    <w:rsid w:val="003A0D97"/>
    <w:rsid w:val="003D0543"/>
    <w:rsid w:val="003D75B8"/>
    <w:rsid w:val="00425735"/>
    <w:rsid w:val="004F75B6"/>
    <w:rsid w:val="00504D9C"/>
    <w:rsid w:val="00596BE6"/>
    <w:rsid w:val="005A3E07"/>
    <w:rsid w:val="005C1D32"/>
    <w:rsid w:val="006B0FA1"/>
    <w:rsid w:val="006E2FCA"/>
    <w:rsid w:val="00722CFD"/>
    <w:rsid w:val="00741495"/>
    <w:rsid w:val="00793331"/>
    <w:rsid w:val="00795B2D"/>
    <w:rsid w:val="007C4042"/>
    <w:rsid w:val="007F0CD9"/>
    <w:rsid w:val="007F66B5"/>
    <w:rsid w:val="0080429E"/>
    <w:rsid w:val="00885AD3"/>
    <w:rsid w:val="008B3EAE"/>
    <w:rsid w:val="008E14E8"/>
    <w:rsid w:val="009E2750"/>
    <w:rsid w:val="00A01FEC"/>
    <w:rsid w:val="00A84A27"/>
    <w:rsid w:val="00B2362F"/>
    <w:rsid w:val="00BA7BB2"/>
    <w:rsid w:val="00BC58B2"/>
    <w:rsid w:val="00BD47AC"/>
    <w:rsid w:val="00C05E6D"/>
    <w:rsid w:val="00C11BBA"/>
    <w:rsid w:val="00CA3010"/>
    <w:rsid w:val="00CD28E8"/>
    <w:rsid w:val="00D05E25"/>
    <w:rsid w:val="00D175BD"/>
    <w:rsid w:val="00D27897"/>
    <w:rsid w:val="00D5644E"/>
    <w:rsid w:val="00DA656C"/>
    <w:rsid w:val="00E51240"/>
    <w:rsid w:val="00E81F0C"/>
    <w:rsid w:val="00F53418"/>
    <w:rsid w:val="00F738F3"/>
    <w:rsid w:val="46172582"/>
    <w:rsid w:val="54035A50"/>
    <w:rsid w:val="58DB3782"/>
    <w:rsid w:val="60A40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8"/>
    <w:semiHidden/>
    <w:qFormat/>
    <w:uiPriority w:val="0"/>
    <w:rPr>
      <w:sz w:val="18"/>
      <w:szCs w:val="18"/>
    </w:rPr>
  </w:style>
  <w:style w:type="paragraph" w:styleId="3">
    <w:name w:val="footer"/>
    <w:basedOn w:val="1"/>
    <w:link w:val="17"/>
    <w:qFormat/>
    <w:uiPriority w:val="99"/>
    <w:pPr>
      <w:tabs>
        <w:tab w:val="center" w:pos="4153"/>
        <w:tab w:val="right" w:pos="8306"/>
      </w:tabs>
      <w:snapToGrid w:val="0"/>
      <w:jc w:val="left"/>
    </w:pPr>
    <w:rPr>
      <w:rFonts w:eastAsia="黑体"/>
      <w:kern w:val="0"/>
      <w:sz w:val="18"/>
      <w:szCs w:val="18"/>
    </w:rPr>
  </w:style>
  <w:style w:type="paragraph" w:styleId="4">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6"/>
    <w:qFormat/>
    <w:uiPriority w:val="0"/>
    <w:pPr>
      <w:pBdr>
        <w:top w:val="single" w:color="auto" w:sz="12" w:space="1"/>
        <w:bottom w:val="single" w:color="auto" w:sz="12" w:space="1"/>
      </w:pBdr>
      <w:spacing w:line="600" w:lineRule="exact"/>
      <w:ind w:left="1280" w:hanging="1280" w:hangingChars="400"/>
    </w:pPr>
    <w:rPr>
      <w:rFonts w:eastAsia="仿宋_GB2312"/>
      <w:sz w:val="32"/>
      <w:szCs w:val="24"/>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Strong"/>
    <w:qFormat/>
    <w:uiPriority w:val="0"/>
    <w:rPr>
      <w:rFonts w:cs="Times New Roman"/>
      <w:b/>
      <w:bCs/>
    </w:rPr>
  </w:style>
  <w:style w:type="paragraph" w:customStyle="1" w:styleId="11">
    <w:name w:val="普通(网站)3"/>
    <w:basedOn w:val="1"/>
    <w:qFormat/>
    <w:uiPriority w:val="0"/>
    <w:rPr>
      <w:rFonts w:cs="黑体"/>
      <w:sz w:val="24"/>
      <w:szCs w:val="24"/>
    </w:rPr>
  </w:style>
  <w:style w:type="paragraph" w:customStyle="1" w:styleId="12">
    <w:name w:val="普通(网站)2"/>
    <w:basedOn w:val="1"/>
    <w:qFormat/>
    <w:uiPriority w:val="0"/>
    <w:rPr>
      <w:rFonts w:cs="黑体"/>
      <w:sz w:val="24"/>
      <w:szCs w:val="24"/>
    </w:rPr>
  </w:style>
  <w:style w:type="paragraph" w:customStyle="1" w:styleId="13">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4">
    <w:name w:val="普通(网站)1"/>
    <w:basedOn w:val="1"/>
    <w:qFormat/>
    <w:uiPriority w:val="0"/>
    <w:rPr>
      <w:rFonts w:cs="黑体"/>
      <w:sz w:val="24"/>
      <w:szCs w:val="24"/>
    </w:rPr>
  </w:style>
  <w:style w:type="paragraph" w:styleId="15">
    <w:name w:val="List Paragraph"/>
    <w:basedOn w:val="1"/>
    <w:qFormat/>
    <w:uiPriority w:val="34"/>
    <w:pPr>
      <w:ind w:firstLine="420" w:firstLineChars="200"/>
    </w:pPr>
  </w:style>
  <w:style w:type="character" w:customStyle="1" w:styleId="16">
    <w:name w:val="正文文本缩进 3 字符"/>
    <w:link w:val="5"/>
    <w:qFormat/>
    <w:uiPriority w:val="0"/>
    <w:rPr>
      <w:rFonts w:eastAsia="仿宋_GB2312"/>
      <w:kern w:val="2"/>
      <w:sz w:val="32"/>
      <w:szCs w:val="24"/>
    </w:rPr>
  </w:style>
  <w:style w:type="character" w:customStyle="1" w:styleId="17">
    <w:name w:val="页脚 字符"/>
    <w:link w:val="3"/>
    <w:qFormat/>
    <w:uiPriority w:val="99"/>
    <w:rPr>
      <w:rFonts w:eastAsia="黑体"/>
      <w:sz w:val="18"/>
      <w:szCs w:val="18"/>
    </w:rPr>
  </w:style>
  <w:style w:type="character" w:customStyle="1" w:styleId="18">
    <w:name w:val="批注框文本 字符"/>
    <w:link w:val="2"/>
    <w:semiHidden/>
    <w:qFormat/>
    <w:uiPriority w:val="0"/>
    <w:rPr>
      <w:kern w:val="2"/>
      <w:sz w:val="18"/>
      <w:szCs w:val="18"/>
    </w:rPr>
  </w:style>
  <w:style w:type="character" w:customStyle="1" w:styleId="19">
    <w:name w:val="页眉 字符"/>
    <w:link w:val="4"/>
    <w:qFormat/>
    <w:uiPriority w:val="0"/>
    <w:rPr>
      <w:kern w:val="2"/>
      <w:sz w:val="18"/>
      <w:szCs w:val="18"/>
    </w:rPr>
  </w:style>
  <w:style w:type="character" w:customStyle="1" w:styleId="20">
    <w:name w:val="页眉 Char1"/>
    <w:semiHidden/>
    <w:qFormat/>
    <w:uiPriority w:val="99"/>
    <w:rPr>
      <w:kern w:val="2"/>
      <w:sz w:val="18"/>
      <w:szCs w:val="18"/>
    </w:rPr>
  </w:style>
  <w:style w:type="character" w:customStyle="1" w:styleId="21">
    <w:name w:val="正文文本缩进 3 Char1"/>
    <w:semiHidden/>
    <w:qFormat/>
    <w:uiPriority w:val="99"/>
    <w:rPr>
      <w:kern w:val="2"/>
      <w:sz w:val="16"/>
      <w:szCs w:val="16"/>
    </w:rPr>
  </w:style>
  <w:style w:type="character" w:customStyle="1" w:styleId="22">
    <w:name w:val="页脚 Char1"/>
    <w:semiHidden/>
    <w:qFormat/>
    <w:uiPriority w:val="99"/>
    <w:rPr>
      <w:kern w:val="2"/>
      <w:sz w:val="18"/>
      <w:szCs w:val="18"/>
    </w:rPr>
  </w:style>
  <w:style w:type="character" w:customStyle="1" w:styleId="23">
    <w:name w:val="批注框文本 Char1"/>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1418</Words>
  <Characters>8085</Characters>
  <Lines>67</Lines>
  <Paragraphs>18</Paragraphs>
  <TotalTime>76</TotalTime>
  <ScaleCrop>false</ScaleCrop>
  <LinksUpToDate>false</LinksUpToDate>
  <CharactersWithSpaces>9485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2021-02-05T07:48:00Z</dcterms:created>
  <dc:creator>丁 柳</dc:creator>
  <cp:lastModifiedBy>YuSuan</cp:lastModifiedBy>
  <dcterms:modified xsi:type="dcterms:W3CDTF">2024-06-03T10:58:27Z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0A329EABC5DE4EF597000B8D667E0428_13</vt:lpwstr>
  </property>
</Properties>
</file>