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r>
        <w:rPr>
          <w:rFonts w:hint="eastAsia" w:ascii="黑体" w:hAnsi="黑体" w:eastAsia="黑体"/>
          <w:sz w:val="32"/>
          <w:szCs w:val="32"/>
        </w:rPr>
        <w:t>附件：</w:t>
      </w:r>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哈密市伊州区审计局2021年部门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500" w:lineRule="exact"/>
        <w:ind w:firstLine="883" w:firstLineChars="200"/>
        <w:outlineLvl w:val="1"/>
        <w:rPr>
          <w:rFonts w:ascii="宋体" w:hAnsi="宋体"/>
          <w:b/>
          <w:kern w:val="0"/>
          <w:sz w:val="44"/>
          <w:szCs w:val="44"/>
        </w:rPr>
      </w:pP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伊州区审计局部门单位概况</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一、关于伊州区审计局2021年收支预算情况的总体说明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二、关于伊州区审计局2021年收入预算情况说明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三、关于伊州区审计局2021年支出预算情况说明</w:t>
      </w:r>
    </w:p>
    <w:p>
      <w:pPr>
        <w:widowControl/>
        <w:spacing w:line="46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四、关于伊州区审计局</w:t>
      </w:r>
      <w:r>
        <w:rPr>
          <w:rFonts w:hint="eastAsia" w:ascii="仿宋_GB2312" w:hAnsi="宋体" w:eastAsia="仿宋_GB2312"/>
          <w:kern w:val="0"/>
          <w:sz w:val="32"/>
          <w:szCs w:val="32"/>
        </w:rPr>
        <w:t>2021</w:t>
      </w:r>
      <w:r>
        <w:rPr>
          <w:rFonts w:hint="eastAsia" w:ascii="仿宋_GB2312" w:hAnsi="宋体" w:eastAsia="仿宋_GB2312"/>
          <w:bCs/>
          <w:kern w:val="0"/>
          <w:sz w:val="32"/>
          <w:szCs w:val="32"/>
        </w:rPr>
        <w:t>年财政拨款收支预算情况的总体说明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五、关于伊州区审计局2021年一般公共预算当年拨款情况说明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六、关于伊州区审计局2021年一般公共预算基本支出情况说明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七、关于伊州区审计局2021年一般公共预算项目支出情况说明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八、关于伊州区审计局2021年一般公共预算“三公”经费预算情况说明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九、关于伊州区审计局2021年政府性基金预算拨款情况说明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center"/>
        <w:outlineLvl w:val="1"/>
        <w:rPr>
          <w:rFonts w:ascii="黑体" w:hAnsi="黑体" w:eastAsia="黑体"/>
          <w:kern w:val="0"/>
          <w:sz w:val="32"/>
          <w:szCs w:val="32"/>
        </w:rPr>
      </w:pPr>
      <w:r>
        <w:rPr>
          <w:rFonts w:hint="eastAsia" w:ascii="黑体" w:hAnsi="黑体" w:eastAsia="黑体"/>
          <w:kern w:val="0"/>
          <w:sz w:val="32"/>
          <w:szCs w:val="32"/>
        </w:rPr>
        <w:t>第一部分   伊州区审计局单位概况</w:t>
      </w:r>
    </w:p>
    <w:p>
      <w:pPr>
        <w:widowControl/>
        <w:jc w:val="center"/>
        <w:outlineLvl w:val="1"/>
        <w:rPr>
          <w:rFonts w:ascii="宋体" w:hAnsi="宋体"/>
          <w:b/>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贯彻执行国家有关审计法律、法规和方针政策；制定并组织实施审计工作发展规划、专业领域审计工作规划和年度审计计划。参与起草地方性财政经济及相关的地方性法规和规章草案；对直接审计、调查和核查的事项依法进行审计评价，做出审计决定或提出审计建议。</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2）主管全区审计工作。负责对区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3）向区政府、哈密市伊州区审计局提出年度区本级预算执行和其他财政收支情况的审计结果报告。受区政府委托向区人大常委会提出区本级预算执行和其他财政收支情况的审计工作报告、审计发现问题的纠正和处理结果报告。向区政府报告对其他事项的审计和专项审计调查情况及结果。依法向社会公布审计结果。提出制定和完善有关政策措施、区域经济调控措施的建议。</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（4）依据《中华人民共和国审计法》的规定，直接审计下列事项，出具审计报告，在法定职权范围内做出审计决定或向有关主管机关提出处理处罚的建议：</w:t>
      </w:r>
    </w:p>
    <w:p>
      <w:pPr>
        <w:spacing w:line="560" w:lineRule="exact"/>
        <w:ind w:firstLine="645"/>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①区本级财政预算执行情况和其他财政收支，区政府各部门（含直属单位）预算的执行情况、决算和其他财政收支</w:t>
      </w:r>
      <w:r>
        <w:rPr>
          <w:rFonts w:hint="eastAsia" w:ascii="仿宋_GB2312" w:hAnsi="宋体" w:eastAsia="仿宋_GB2312" w:cs="宋体"/>
          <w:kern w:val="0"/>
          <w:sz w:val="32"/>
          <w:szCs w:val="32"/>
          <w:lang w:eastAsia="zh-CN"/>
        </w:rPr>
        <w:t>。</w:t>
      </w:r>
    </w:p>
    <w:p>
      <w:pPr>
        <w:spacing w:line="560" w:lineRule="exact"/>
        <w:ind w:firstLine="645"/>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②使用区本级财政资金的事业单位和社会团体的财务收支</w:t>
      </w:r>
      <w:r>
        <w:rPr>
          <w:rFonts w:hint="eastAsia" w:ascii="仿宋_GB2312" w:hAnsi="宋体" w:eastAsia="仿宋_GB2312" w:cs="宋体"/>
          <w:kern w:val="0"/>
          <w:sz w:val="32"/>
          <w:szCs w:val="32"/>
          <w:lang w:eastAsia="zh-CN"/>
        </w:rPr>
        <w:t>。</w:t>
      </w:r>
    </w:p>
    <w:p>
      <w:pPr>
        <w:spacing w:line="560" w:lineRule="exact"/>
        <w:ind w:firstLine="645"/>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③区本级财政投资和以区本级财政投资为主的建设项目的预算执行情况和决算</w:t>
      </w:r>
      <w:r>
        <w:rPr>
          <w:rFonts w:hint="eastAsia" w:ascii="仿宋_GB2312" w:hAnsi="宋体" w:eastAsia="仿宋_GB2312" w:cs="宋体"/>
          <w:kern w:val="0"/>
          <w:sz w:val="32"/>
          <w:szCs w:val="32"/>
          <w:lang w:eastAsia="zh-CN"/>
        </w:rPr>
        <w:t>。</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④区所属国有企业及国有资本控股或占主导地位企业的资产、负债和损益</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地方金融机构的资产、负债和损益。</w:t>
      </w:r>
    </w:p>
    <w:p>
      <w:pPr>
        <w:spacing w:line="560" w:lineRule="exact"/>
        <w:ind w:firstLine="645"/>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⑤区政府部门，县（区）人民政府管理和其他单位受区政府委托管理的社会保障基金、社会捐赠资金及其他有关基金、资金的财务收支</w:t>
      </w:r>
      <w:r>
        <w:rPr>
          <w:rFonts w:hint="eastAsia" w:ascii="仿宋_GB2312" w:hAnsi="宋体" w:eastAsia="仿宋_GB2312" w:cs="宋体"/>
          <w:kern w:val="0"/>
          <w:sz w:val="32"/>
          <w:szCs w:val="32"/>
          <w:lang w:eastAsia="zh-CN"/>
        </w:rPr>
        <w:t>。</w:t>
      </w:r>
    </w:p>
    <w:p>
      <w:pPr>
        <w:spacing w:line="560" w:lineRule="exact"/>
        <w:ind w:firstLine="645"/>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⑥国际组织和外国政府援助、贷款项目的财务收支</w:t>
      </w:r>
      <w:r>
        <w:rPr>
          <w:rFonts w:hint="eastAsia" w:ascii="仿宋_GB2312" w:hAnsi="宋体" w:eastAsia="仿宋_GB2312" w:cs="宋体"/>
          <w:kern w:val="0"/>
          <w:sz w:val="32"/>
          <w:szCs w:val="32"/>
          <w:lang w:eastAsia="zh-CN"/>
        </w:rPr>
        <w:t>。</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⑦法律、行政法规规定应由区伊州区审计局审计的其他事项</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（5）按规定对科级领导干部及依法属于区伊州区审计局审计监督对象的其他单位主要负责人实施经济责任审计。</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（6）依法对区政府性投资、信贷资金投资、国债资金投资、援疆资金投资建设项目的项目管理、资金使用、工程结（决）算实施审计监督。</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（7）组织实施对国家财经法律、法规、规章、政策和宏观调控措施执行情况、财政预算管理或国有资产管理使用等与区财政收支有关的特定事项进行专项审计调查。</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（8）依法检查审计决定执行情况，督促纠正和处理审计发现的问题，依法办理被审计单位对审计决定提请行政复议、行政诉讼或区政府裁决中的有关事项。协助配合有关部门查处相关重大案件。</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（9）指导和监督内部审计工作，核查社会审计机构对依法属于审计监督对象的单位出具的相关审计报告。</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（10）组织审计区政府及有关部门驻外非经营性机构的财务收支，依法通过适当方式组织审计区国有企业和地方金融机构的境外资产、负债和损益。</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（11）承担市伊州区审计局授权的审计事项。</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（12）推广信息技术在审计领域的应用，组织建设区审计信息系统。</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（13）承办区委、区政府交办的其它事项。</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14）伊州区审计局政府投资审计专业局负责固定资产投资审计制度、规范性文件的制定；根据区政府批准的建设项目和项目计划及上级审计机关确定的投资审计重点，拟定投资审计计划；严格执行投资与建设法规，对政府固定资产投资政策执行到位情况、资金使用的合规合法性进行审查监督。组织实施本行政管辖范围内的基本建设项目的审计监督和审计调查；组织对本级及上级审计机关确定的建设项目实施情况及效益进行监督评估；组织委托中介机构开展专项审计和审计调查。</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（15）哈密基建审计中心</w:t>
      </w:r>
      <w:r>
        <w:rPr>
          <w:rFonts w:hint="eastAsia" w:ascii="仿宋_GB2312" w:hAnsi="宋体" w:eastAsia="仿宋_GB2312" w:cs="宋体"/>
          <w:kern w:val="0"/>
          <w:sz w:val="32"/>
          <w:szCs w:val="32"/>
          <w:lang w:val="en-US" w:eastAsia="zh-CN"/>
        </w:rPr>
        <w:t>受</w:t>
      </w:r>
      <w:r>
        <w:rPr>
          <w:rFonts w:hint="eastAsia" w:ascii="仿宋_GB2312" w:hAnsi="宋体" w:eastAsia="仿宋_GB2312" w:cs="宋体"/>
          <w:kern w:val="0"/>
          <w:sz w:val="32"/>
          <w:szCs w:val="32"/>
        </w:rPr>
        <w:t>哈密区伊州区审计局委托，承担“根据有关法规和国务院、自治区人民政府、河南援建规定，对区重点建设项目的</w:t>
      </w:r>
      <w:commentRangeStart w:id="0"/>
      <w:r>
        <w:rPr>
          <w:rFonts w:hint="eastAsia" w:ascii="仿宋_GB2312" w:hAnsi="宋体" w:eastAsia="仿宋_GB2312" w:cs="宋体"/>
          <w:kern w:val="0"/>
          <w:sz w:val="32"/>
          <w:szCs w:val="32"/>
          <w:lang w:val="en-US" w:eastAsia="zh-CN"/>
        </w:rPr>
        <w:t>概</w:t>
      </w:r>
      <w:r>
        <w:rPr>
          <w:rFonts w:hint="eastAsia" w:ascii="仿宋_GB2312" w:hAnsi="宋体" w:eastAsia="仿宋_GB2312" w:cs="宋体"/>
          <w:kern w:val="0"/>
          <w:sz w:val="32"/>
          <w:szCs w:val="32"/>
        </w:rPr>
        <w:t>预算执行和决算</w:t>
      </w:r>
      <w:commentRangeEnd w:id="0"/>
      <w:r>
        <w:commentReference w:id="0"/>
      </w:r>
      <w:r>
        <w:rPr>
          <w:rFonts w:hint="eastAsia" w:ascii="仿宋_GB2312" w:hAnsi="宋体" w:eastAsia="仿宋_GB2312" w:cs="宋体"/>
          <w:kern w:val="0"/>
          <w:sz w:val="32"/>
          <w:szCs w:val="32"/>
        </w:rPr>
        <w:t>进行审计监督，组织对其它建设项目的审计监督；组织对</w:t>
      </w:r>
      <w:commentRangeStart w:id="1"/>
      <w:r>
        <w:rPr>
          <w:rFonts w:hint="eastAsia" w:ascii="仿宋_GB2312" w:hAnsi="宋体" w:eastAsia="仿宋_GB2312" w:cs="宋体"/>
          <w:kern w:val="0"/>
          <w:sz w:val="32"/>
          <w:szCs w:val="32"/>
        </w:rPr>
        <w:t>区国</w:t>
      </w:r>
      <w:commentRangeEnd w:id="1"/>
      <w:r>
        <w:commentReference w:id="1"/>
      </w:r>
      <w:r>
        <w:rPr>
          <w:rFonts w:hint="eastAsia" w:ascii="仿宋_GB2312" w:hAnsi="宋体" w:eastAsia="仿宋_GB2312" w:cs="宋体"/>
          <w:kern w:val="0"/>
          <w:sz w:val="32"/>
          <w:szCs w:val="32"/>
        </w:rPr>
        <w:t>有施工企业的审计监督；对关系民生的重大项目实施全过程跟踪审计；开展专项审计和审计调查及绩效评价：</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①对全区建设项目资金来源、使用情况进行审计监督；</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②对全区建设项目立项、可研、用地招标、合同、工程预算、决（结）算，进行审计监督，对中介机构拦标价再审计；</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③对建设、设计、施工、监理单位的合规合法性进行审计监督；</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④对建设项目竣工后的国有资产移交工作进行审计监督；</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⑤对内部审计、中介机构的工作质量进行审计监督和指导。</w:t>
      </w:r>
    </w:p>
    <w:p>
      <w:pPr>
        <w:spacing w:line="560" w:lineRule="exact"/>
        <w:ind w:firstLine="624"/>
        <w:rPr>
          <w:rFonts w:ascii="仿宋" w:hAnsi="仿宋" w:eastAsia="仿宋" w:cs="宋体"/>
          <w:bCs/>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spacing w:line="560" w:lineRule="exact"/>
        <w:ind w:firstLine="645"/>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哈密市伊州区审计局部门无下属预算单位，下设8个科室及1个二级局，分别是：办公室、政策法规室、经济责任和财务审计室、固定资产投资审计室、政府投资审计中心。</w:t>
      </w:r>
    </w:p>
    <w:p>
      <w:pPr>
        <w:spacing w:line="560" w:lineRule="exact"/>
        <w:ind w:firstLine="645"/>
        <w:rPr>
          <w:rFonts w:ascii="仿宋" w:hAnsi="仿宋" w:eastAsia="仿宋"/>
          <w:sz w:val="32"/>
          <w:szCs w:val="32"/>
        </w:rPr>
      </w:pPr>
      <w:r>
        <w:rPr>
          <w:rFonts w:hint="eastAsia" w:ascii="仿宋_GB2312" w:hAnsi="宋体" w:eastAsia="仿宋_GB2312" w:cs="宋体"/>
          <w:kern w:val="0"/>
          <w:sz w:val="32"/>
          <w:szCs w:val="32"/>
        </w:rPr>
        <w:t>哈密市伊州区审计局部门编制数34人，实有人数55人，其中：在职40人，增加0人；退休15人，增加2人；离休0人，减少0人。</w:t>
      </w:r>
    </w:p>
    <w:p>
      <w:pPr>
        <w:rPr>
          <w:rFonts w:ascii="仿宋" w:hAnsi="仿宋" w:eastAsia="仿宋"/>
          <w:sz w:val="32"/>
          <w:szCs w:val="32"/>
        </w:rPr>
      </w:pPr>
      <w:r>
        <w:rPr>
          <w:rFonts w:hint="eastAsia" w:ascii="仿宋" w:hAnsi="仿宋" w:eastAsia="仿宋"/>
          <w:sz w:val="32"/>
          <w:szCs w:val="32"/>
        </w:rPr>
        <w:br w:type="page"/>
      </w:r>
    </w:p>
    <w:p>
      <w:pPr>
        <w:widowControl/>
        <w:spacing w:before="120" w:beforeLines="50"/>
        <w:ind w:firstLine="1760" w:firstLineChars="550"/>
        <w:jc w:val="left"/>
        <w:outlineLvl w:val="1"/>
        <w:rPr>
          <w:rFonts w:ascii="黑体" w:hAnsi="黑体" w:eastAsia="黑体"/>
          <w:kern w:val="0"/>
          <w:sz w:val="32"/>
          <w:szCs w:val="32"/>
        </w:rPr>
      </w:pPr>
      <w:r>
        <w:rPr>
          <w:rFonts w:hint="eastAsia" w:ascii="黑体" w:hAnsi="黑体" w:eastAsia="黑体"/>
          <w:kern w:val="0"/>
          <w:sz w:val="32"/>
          <w:szCs w:val="32"/>
        </w:rPr>
        <w:t>第二部分  2021年部门预算公开表</w:t>
      </w: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编制部门：哈密市伊州区审计局                              单位：万元</w:t>
      </w:r>
    </w:p>
    <w:tbl>
      <w:tblPr>
        <w:tblStyle w:val="6"/>
        <w:tblW w:w="8729" w:type="dxa"/>
        <w:tblInd w:w="93" w:type="dxa"/>
        <w:tblLayout w:type="fixed"/>
        <w:tblCellMar>
          <w:top w:w="0" w:type="dxa"/>
          <w:left w:w="108" w:type="dxa"/>
          <w:bottom w:w="0" w:type="dxa"/>
          <w:right w:w="108" w:type="dxa"/>
        </w:tblCellMar>
      </w:tblPr>
      <w:tblGrid>
        <w:gridCol w:w="2297"/>
        <w:gridCol w:w="2004"/>
        <w:gridCol w:w="2713"/>
        <w:gridCol w:w="1715"/>
      </w:tblGrid>
      <w:tr>
        <w:tblPrEx>
          <w:tblCellMar>
            <w:top w:w="0" w:type="dxa"/>
            <w:left w:w="108" w:type="dxa"/>
            <w:bottom w:w="0" w:type="dxa"/>
            <w:right w:w="108" w:type="dxa"/>
          </w:tblCellMar>
        </w:tblPrEx>
        <w:trPr>
          <w:trHeight w:val="350" w:hRule="atLeast"/>
        </w:trPr>
        <w:tc>
          <w:tcPr>
            <w:tcW w:w="4301"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428"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200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71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1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2004"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2004"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20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国有资本经营预算</w:t>
            </w:r>
          </w:p>
        </w:tc>
        <w:tc>
          <w:tcPr>
            <w:tcW w:w="20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20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20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20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20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pPr>
            <w:r>
              <w:rPr>
                <w:rFonts w:hint="eastAsia"/>
              </w:rPr>
              <w:t xml:space="preserve">  </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15"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004"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1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1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lang w:bidi="ar"/>
              </w:rPr>
              <w:t>234 抗疫特别国债还本支出</w:t>
            </w:r>
          </w:p>
        </w:tc>
        <w:tc>
          <w:tcPr>
            <w:tcW w:w="171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04" w:hRule="exact"/>
        </w:trPr>
        <w:tc>
          <w:tcPr>
            <w:tcW w:w="2297"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  </w:t>
            </w:r>
          </w:p>
        </w:tc>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1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1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55" w:hRule="atLeast"/>
        </w:trPr>
        <w:tc>
          <w:tcPr>
            <w:tcW w:w="2297"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20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271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715"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r>
    </w:tbl>
    <w:p>
      <w:pPr>
        <w:rPr>
          <w:rFonts w:ascii="仿宋_GB2312" w:hAnsi="宋体" w:eastAsia="仿宋_GB2312"/>
          <w:b/>
          <w:kern w:val="0"/>
          <w:sz w:val="28"/>
          <w:szCs w:val="32"/>
        </w:rPr>
      </w:pPr>
      <w:r>
        <w:rPr>
          <w:rFonts w:ascii="仿宋_GB2312" w:hAnsi="宋体" w:eastAsia="仿宋_GB2312"/>
          <w:b/>
          <w:kern w:val="0"/>
          <w:sz w:val="28"/>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填报部门：哈密市伊州区审计局                                  单位：万元</w:t>
      </w:r>
    </w:p>
    <w:tbl>
      <w:tblPr>
        <w:tblStyle w:val="6"/>
        <w:tblW w:w="9116" w:type="dxa"/>
        <w:tblInd w:w="0" w:type="dxa"/>
        <w:tblLayout w:type="fixed"/>
        <w:tblCellMar>
          <w:top w:w="0" w:type="dxa"/>
          <w:left w:w="108" w:type="dxa"/>
          <w:bottom w:w="0" w:type="dxa"/>
          <w:right w:w="108" w:type="dxa"/>
        </w:tblCellMar>
      </w:tblPr>
      <w:tblGrid>
        <w:gridCol w:w="564"/>
        <w:gridCol w:w="428"/>
        <w:gridCol w:w="428"/>
        <w:gridCol w:w="2139"/>
        <w:gridCol w:w="816"/>
        <w:gridCol w:w="875"/>
        <w:gridCol w:w="558"/>
        <w:gridCol w:w="598"/>
        <w:gridCol w:w="678"/>
        <w:gridCol w:w="678"/>
        <w:gridCol w:w="678"/>
        <w:gridCol w:w="676"/>
      </w:tblGrid>
      <w:tr>
        <w:tblPrEx>
          <w:tblCellMar>
            <w:top w:w="0" w:type="dxa"/>
            <w:left w:w="108" w:type="dxa"/>
            <w:bottom w:w="0" w:type="dxa"/>
            <w:right w:w="108" w:type="dxa"/>
          </w:tblCellMar>
        </w:tblPrEx>
        <w:trPr>
          <w:trHeight w:val="510" w:hRule="atLeast"/>
        </w:trPr>
        <w:tc>
          <w:tcPr>
            <w:tcW w:w="14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13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87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55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59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tabs>
                <w:tab w:val="left" w:pos="551"/>
              </w:tabs>
              <w:jc w:val="left"/>
              <w:rPr>
                <w:rFonts w:ascii="仿宋_GB2312" w:eastAsia="仿宋_GB2312"/>
                <w:b/>
                <w:color w:val="000000"/>
                <w:sz w:val="20"/>
                <w:szCs w:val="20"/>
              </w:rPr>
            </w:pPr>
            <w:r>
              <w:rPr>
                <w:rFonts w:hint="eastAsia" w:ascii="仿宋_GB2312" w:eastAsia="仿宋_GB2312"/>
                <w:b/>
                <w:color w:val="000000"/>
                <w:sz w:val="20"/>
                <w:szCs w:val="20"/>
              </w:rPr>
              <w:t>国有资本经营预算</w:t>
            </w:r>
          </w:p>
        </w:tc>
        <w:tc>
          <w:tcPr>
            <w:tcW w:w="67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67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7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7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单位其他资金收入</w:t>
            </w:r>
          </w:p>
        </w:tc>
      </w:tr>
      <w:tr>
        <w:tblPrEx>
          <w:tblCellMar>
            <w:top w:w="0" w:type="dxa"/>
            <w:left w:w="108" w:type="dxa"/>
            <w:bottom w:w="0" w:type="dxa"/>
            <w:right w:w="108" w:type="dxa"/>
          </w:tblCellMar>
        </w:tblPrEx>
        <w:trPr>
          <w:trHeight w:val="1870"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139"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7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5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9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510"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816" w:type="dxa"/>
            <w:tcBorders>
              <w:top w:val="nil"/>
              <w:left w:val="nil"/>
              <w:bottom w:val="single" w:color="auto" w:sz="4" w:space="0"/>
              <w:right w:val="single" w:color="auto" w:sz="4" w:space="0"/>
            </w:tcBorders>
            <w:shd w:val="clear" w:color="000000" w:fill="FFFFFF"/>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875" w:type="dxa"/>
            <w:tcBorders>
              <w:top w:val="nil"/>
              <w:left w:val="nil"/>
              <w:bottom w:val="single" w:color="auto" w:sz="4" w:space="0"/>
              <w:right w:val="single" w:color="auto" w:sz="4" w:space="0"/>
            </w:tcBorders>
            <w:shd w:val="clear" w:color="000000" w:fill="FFFFFF"/>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55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审计事务</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2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39"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87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3"/>
                <w:szCs w:val="13"/>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3"/>
                <w:szCs w:val="13"/>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3"/>
                <w:szCs w:val="13"/>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3"/>
                <w:szCs w:val="13"/>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2139"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3"/>
                <w:szCs w:val="13"/>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21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3"/>
                <w:szCs w:val="13"/>
              </w:rPr>
            </w:pPr>
            <w:r>
              <w:rPr>
                <w:rFonts w:hint="eastAsia" w:ascii="仿宋_GB2312" w:eastAsia="仿宋_GB2312"/>
                <w:color w:val="000000"/>
                <w:sz w:val="13"/>
                <w:szCs w:val="13"/>
              </w:rPr>
              <w:t>合计</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678.35</w:t>
            </w:r>
          </w:p>
        </w:tc>
        <w:tc>
          <w:tcPr>
            <w:tcW w:w="87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678.35</w:t>
            </w:r>
          </w:p>
        </w:tc>
        <w:tc>
          <w:tcPr>
            <w:tcW w:w="55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59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c>
          <w:tcPr>
            <w:tcW w:w="6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3"/>
                <w:szCs w:val="13"/>
              </w:rPr>
            </w:pPr>
          </w:p>
        </w:tc>
      </w:tr>
    </w:tbl>
    <w:p>
      <w:pPr>
        <w:rPr>
          <w:rFonts w:ascii="仿宋_GB2312" w:hAnsi="宋体" w:eastAsia="仿宋_GB2312"/>
          <w:b/>
          <w:kern w:val="0"/>
          <w:sz w:val="28"/>
          <w:szCs w:val="32"/>
        </w:rPr>
      </w:pPr>
      <w:r>
        <w:rPr>
          <w:rFonts w:ascii="仿宋_GB2312" w:hAnsi="宋体" w:eastAsia="仿宋_GB2312"/>
          <w:b/>
          <w:kern w:val="0"/>
          <w:sz w:val="28"/>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编制部门：哈密市伊州区审计局                                  单位：万元</w:t>
      </w:r>
    </w:p>
    <w:tbl>
      <w:tblPr>
        <w:tblStyle w:val="6"/>
        <w:tblW w:w="9639" w:type="dxa"/>
        <w:tblInd w:w="-459" w:type="dxa"/>
        <w:tblLayout w:type="fixed"/>
        <w:tblCellMar>
          <w:top w:w="0" w:type="dxa"/>
          <w:left w:w="108" w:type="dxa"/>
          <w:bottom w:w="0" w:type="dxa"/>
          <w:right w:w="108" w:type="dxa"/>
        </w:tblCellMar>
      </w:tblPr>
      <w:tblGrid>
        <w:gridCol w:w="567"/>
        <w:gridCol w:w="453"/>
        <w:gridCol w:w="400"/>
        <w:gridCol w:w="2604"/>
        <w:gridCol w:w="1855"/>
        <w:gridCol w:w="1856"/>
        <w:gridCol w:w="1904"/>
      </w:tblGrid>
      <w:tr>
        <w:tblPrEx>
          <w:tblCellMar>
            <w:top w:w="0" w:type="dxa"/>
            <w:left w:w="108" w:type="dxa"/>
            <w:bottom w:w="0" w:type="dxa"/>
            <w:right w:w="108" w:type="dxa"/>
          </w:tblCellMar>
        </w:tblPrEx>
        <w:trPr>
          <w:trHeight w:val="345" w:hRule="atLeast"/>
        </w:trPr>
        <w:tc>
          <w:tcPr>
            <w:tcW w:w="402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61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4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9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9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审计事务</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其他审计事务支出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106  </w:t>
            </w: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5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604"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4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572.35</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r>
    </w:tbl>
    <w:p>
      <w:pPr>
        <w:rPr>
          <w:rFonts w:ascii="仿宋_GB2312" w:hAnsi="宋体" w:eastAsia="仿宋_GB2312"/>
          <w:b/>
          <w:kern w:val="0"/>
          <w:sz w:val="28"/>
          <w:szCs w:val="32"/>
        </w:rPr>
      </w:pPr>
      <w:r>
        <w:rPr>
          <w:rFonts w:ascii="仿宋_GB2312" w:hAnsi="宋体" w:eastAsia="仿宋_GB2312"/>
          <w:b/>
          <w:kern w:val="0"/>
          <w:sz w:val="28"/>
          <w:szCs w:val="32"/>
        </w:rPr>
        <w:br w:type="page"/>
      </w: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jc w:val="left"/>
        <w:outlineLvl w:val="1"/>
        <w:rPr>
          <w:rFonts w:ascii="仿宋_GB2312" w:hAnsi="宋体" w:eastAsia="仿宋_GB2312"/>
          <w:kern w:val="0"/>
          <w:sz w:val="28"/>
          <w:szCs w:val="28"/>
        </w:rPr>
      </w:pPr>
      <w:r>
        <w:rPr>
          <w:rFonts w:hint="eastAsia" w:ascii="仿宋_GB2312" w:hAnsi="宋体" w:eastAsia="仿宋_GB2312"/>
          <w:kern w:val="0"/>
          <w:sz w:val="28"/>
          <w:szCs w:val="28"/>
        </w:rPr>
        <w:t>编制部门：哈密市伊州区审计局                     单位：万元</w:t>
      </w:r>
    </w:p>
    <w:tbl>
      <w:tblPr>
        <w:tblStyle w:val="6"/>
        <w:tblW w:w="9116" w:type="dxa"/>
        <w:tblInd w:w="0" w:type="dxa"/>
        <w:tblLayout w:type="fixed"/>
        <w:tblCellMar>
          <w:top w:w="0" w:type="dxa"/>
          <w:left w:w="108" w:type="dxa"/>
          <w:bottom w:w="0" w:type="dxa"/>
          <w:right w:w="108" w:type="dxa"/>
        </w:tblCellMar>
      </w:tblPr>
      <w:tblGrid>
        <w:gridCol w:w="1770"/>
        <w:gridCol w:w="1666"/>
        <w:gridCol w:w="2391"/>
        <w:gridCol w:w="788"/>
        <w:gridCol w:w="795"/>
        <w:gridCol w:w="901"/>
        <w:gridCol w:w="805"/>
      </w:tblGrid>
      <w:tr>
        <w:tblPrEx>
          <w:tblCellMar>
            <w:top w:w="0" w:type="dxa"/>
            <w:left w:w="108" w:type="dxa"/>
            <w:bottom w:w="0" w:type="dxa"/>
            <w:right w:w="108" w:type="dxa"/>
          </w:tblCellMar>
        </w:tblPrEx>
        <w:trPr>
          <w:trHeight w:val="285" w:hRule="atLeast"/>
        </w:trPr>
        <w:tc>
          <w:tcPr>
            <w:tcW w:w="343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487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c>
          <w:tcPr>
            <w:tcW w:w="8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p>
        </w:tc>
      </w:tr>
      <w:tr>
        <w:tblPrEx>
          <w:tblCellMar>
            <w:top w:w="0" w:type="dxa"/>
            <w:left w:w="108" w:type="dxa"/>
            <w:bottom w:w="0" w:type="dxa"/>
            <w:right w:w="108" w:type="dxa"/>
          </w:tblCellMar>
        </w:tblPrEx>
        <w:trPr>
          <w:trHeight w:val="465" w:hRule="atLeas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66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3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78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79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66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一般公共预算</w:t>
            </w:r>
          </w:p>
        </w:tc>
        <w:tc>
          <w:tcPr>
            <w:tcW w:w="166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政府性基金预算</w:t>
            </w:r>
          </w:p>
        </w:tc>
        <w:tc>
          <w:tcPr>
            <w:tcW w:w="166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国有资本经营预算</w:t>
            </w: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color w:val="000000"/>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tc>
        <w:tc>
          <w:tcPr>
            <w:tcW w:w="166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shd w:val="clear" w:color="auto" w:fill="auto"/>
            <w:vAlign w:val="center"/>
          </w:tcPr>
          <w:p/>
        </w:tc>
        <w:tc>
          <w:tcPr>
            <w:tcW w:w="805" w:type="dxa"/>
            <w:tcBorders>
              <w:top w:val="nil"/>
              <w:left w:val="nil"/>
              <w:bottom w:val="single" w:color="auto" w:sz="4" w:space="0"/>
              <w:right w:val="single" w:color="auto" w:sz="4" w:space="0"/>
            </w:tcBorders>
            <w:shd w:val="clear" w:color="auto" w:fill="auto"/>
            <w:vAlign w:val="center"/>
          </w:tcPr>
          <w:p/>
        </w:tc>
      </w:tr>
      <w:tr>
        <w:tblPrEx>
          <w:tblCellMar>
            <w:top w:w="0" w:type="dxa"/>
            <w:left w:w="108" w:type="dxa"/>
            <w:bottom w:w="0" w:type="dxa"/>
            <w:right w:w="108" w:type="dxa"/>
          </w:tblCellMar>
        </w:tblPrEx>
        <w:trPr>
          <w:trHeight w:val="312" w:hRule="exact"/>
        </w:trPr>
        <w:tc>
          <w:tcPr>
            <w:tcW w:w="177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66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23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  出  总  计</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79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9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80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bl>
    <w:p>
      <w:pPr>
        <w:rPr>
          <w:rFonts w:ascii="仿宋_GB2312" w:hAnsi="宋体" w:eastAsia="仿宋_GB2312"/>
          <w:b/>
          <w:kern w:val="0"/>
          <w:sz w:val="28"/>
          <w:szCs w:val="32"/>
        </w:rPr>
      </w:pPr>
      <w:r>
        <w:rPr>
          <w:rFonts w:ascii="仿宋_GB2312" w:hAnsi="宋体" w:eastAsia="仿宋_GB2312"/>
          <w:b/>
          <w:kern w:val="0"/>
          <w:sz w:val="28"/>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6"/>
        <w:tblW w:w="9214" w:type="dxa"/>
        <w:tblInd w:w="-34" w:type="dxa"/>
        <w:tblLayout w:type="fixed"/>
        <w:tblCellMar>
          <w:top w:w="0" w:type="dxa"/>
          <w:left w:w="108" w:type="dxa"/>
          <w:bottom w:w="0" w:type="dxa"/>
          <w:right w:w="108" w:type="dxa"/>
        </w:tblCellMar>
      </w:tblPr>
      <w:tblGrid>
        <w:gridCol w:w="568"/>
        <w:gridCol w:w="492"/>
        <w:gridCol w:w="417"/>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 xml:space="preserve">哈密市伊州区审计局  </w:t>
            </w:r>
          </w:p>
        </w:tc>
        <w:tc>
          <w:tcPr>
            <w:tcW w:w="66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327" w:type="dxa"/>
            <w:gridSpan w:val="2"/>
            <w:tcBorders>
              <w:top w:val="nil"/>
              <w:left w:val="nil"/>
              <w:bottom w:val="nil"/>
              <w:right w:val="nil"/>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522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201</w:t>
            </w:r>
          </w:p>
        </w:tc>
        <w:tc>
          <w:tcPr>
            <w:tcW w:w="49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510" w:type="dxa"/>
            <w:tcBorders>
              <w:top w:val="nil"/>
              <w:left w:val="nil"/>
              <w:bottom w:val="single" w:color="auto" w:sz="4" w:space="0"/>
              <w:right w:val="single" w:color="auto" w:sz="4" w:space="0"/>
            </w:tcBorders>
            <w:shd w:val="clear" w:color="auto" w:fill="auto"/>
            <w:vAlign w:val="bottom"/>
          </w:tcPr>
          <w:p>
            <w:pPr>
              <w:textAlignment w:val="bottom"/>
              <w:rPr>
                <w:rFonts w:ascii="仿宋" w:hAnsi="仿宋" w:eastAsia="仿宋"/>
                <w:color w:val="000000"/>
                <w:sz w:val="20"/>
                <w:szCs w:val="20"/>
              </w:rPr>
            </w:pPr>
            <w:r>
              <w:rPr>
                <w:rFonts w:hint="eastAsia" w:ascii="仿宋" w:hAnsi="仿宋" w:eastAsia="仿宋" w:cs="宋体"/>
                <w:color w:val="000000"/>
                <w:sz w:val="20"/>
                <w:szCs w:val="20"/>
              </w:rPr>
              <w:t>一般公共服务支出</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审计事务</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595.28</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106</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489.28</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其他审计事务支出</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510" w:type="dxa"/>
            <w:tcBorders>
              <w:top w:val="nil"/>
              <w:left w:val="nil"/>
              <w:bottom w:val="single" w:color="auto" w:sz="4" w:space="0"/>
              <w:right w:val="single" w:color="auto" w:sz="4" w:space="0"/>
            </w:tcBorders>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81"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684"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678.35</w:t>
            </w:r>
          </w:p>
        </w:tc>
        <w:tc>
          <w:tcPr>
            <w:tcW w:w="184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572.35</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r>
    </w:tbl>
    <w:p>
      <w:pPr>
        <w:rPr>
          <w:rFonts w:ascii="仿宋_GB2312" w:hAnsi="宋体" w:eastAsia="仿宋_GB2312"/>
          <w:b/>
          <w:kern w:val="0"/>
          <w:sz w:val="28"/>
          <w:szCs w:val="32"/>
        </w:rPr>
      </w:pPr>
      <w:r>
        <w:rPr>
          <w:rFonts w:ascii="仿宋_GB2312" w:hAnsi="宋体" w:eastAsia="仿宋_GB2312"/>
          <w:b/>
          <w:kern w:val="0"/>
          <w:sz w:val="28"/>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编制部门：哈密市伊州区审计局</w:t>
            </w:r>
          </w:p>
        </w:tc>
        <w:tc>
          <w:tcPr>
            <w:tcW w:w="995"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shd w:val="clear" w:color="auto" w:fill="auto"/>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545.9</w:t>
            </w:r>
            <w:r>
              <w:rPr>
                <w:rFonts w:ascii="仿宋_GB2312" w:hAnsi="宋体" w:eastAsia="仿宋_GB2312" w:cs="宋体"/>
                <w:kern w:val="0"/>
                <w:sz w:val="18"/>
                <w:szCs w:val="18"/>
              </w:rPr>
              <w:t>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545.9</w:t>
            </w:r>
            <w:r>
              <w:rPr>
                <w:rFonts w:ascii="仿宋_GB2312" w:hAnsi="宋体" w:eastAsia="仿宋_GB2312" w:cs="宋体"/>
                <w:kern w:val="0"/>
                <w:sz w:val="18"/>
                <w:szCs w:val="18"/>
              </w:rPr>
              <w:t>5</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基本工资</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88.21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88.21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津贴补贴</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76.82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76.82</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奖金</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17.26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17.26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w:t>
            </w:r>
            <w:r>
              <w:rPr>
                <w:rFonts w:ascii="仿宋_GB2312" w:hAnsi="宋体" w:eastAsia="仿宋_GB2312" w:cs="宋体"/>
                <w:kern w:val="0"/>
                <w:sz w:val="18"/>
                <w:szCs w:val="18"/>
              </w:rPr>
              <w:t>9</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职业年金缴费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w:t>
            </w:r>
            <w:r>
              <w:rPr>
                <w:rFonts w:ascii="仿宋_GB2312" w:hAnsi="宋体" w:eastAsia="仿宋_GB2312" w:cs="宋体"/>
                <w:kern w:val="0"/>
                <w:sz w:val="18"/>
                <w:szCs w:val="18"/>
              </w:rPr>
              <w:t>.53</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6.53</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49.51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职工基本医疗保险缴费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31.48</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31.48</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其他社会保险缴费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33.56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239.56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239.56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23.55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办公费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6.77</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印刷费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邮电费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差旅费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培训费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工会经费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2.19</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29</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福利费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1.97</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公务用车运行维护费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对个人和家庭的补助</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2.85</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离休费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退休费</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2.85</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572.35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548.8</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23.55</w:t>
            </w:r>
          </w:p>
        </w:tc>
      </w:tr>
    </w:tbl>
    <w:p>
      <w:pPr>
        <w:widowControl/>
        <w:jc w:val="left"/>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6"/>
        <w:tblW w:w="9639" w:type="dxa"/>
        <w:tblInd w:w="-459" w:type="dxa"/>
        <w:tblLayout w:type="fixed"/>
        <w:tblCellMar>
          <w:top w:w="0" w:type="dxa"/>
          <w:left w:w="108" w:type="dxa"/>
          <w:bottom w:w="0" w:type="dxa"/>
          <w:right w:w="108" w:type="dxa"/>
        </w:tblCellMar>
      </w:tblPr>
      <w:tblGrid>
        <w:gridCol w:w="107"/>
        <w:gridCol w:w="389"/>
        <w:gridCol w:w="397"/>
        <w:gridCol w:w="397"/>
        <w:gridCol w:w="978"/>
        <w:gridCol w:w="1329"/>
        <w:gridCol w:w="798"/>
        <w:gridCol w:w="62"/>
        <w:gridCol w:w="459"/>
        <w:gridCol w:w="754"/>
        <w:gridCol w:w="434"/>
        <w:gridCol w:w="652"/>
        <w:gridCol w:w="378"/>
        <w:gridCol w:w="200"/>
        <w:gridCol w:w="419"/>
        <w:gridCol w:w="578"/>
        <w:gridCol w:w="420"/>
        <w:gridCol w:w="420"/>
        <w:gridCol w:w="389"/>
        <w:gridCol w:w="79"/>
      </w:tblGrid>
      <w:tr>
        <w:tblPrEx>
          <w:tblCellMar>
            <w:top w:w="0" w:type="dxa"/>
            <w:left w:w="108" w:type="dxa"/>
            <w:bottom w:w="0" w:type="dxa"/>
            <w:right w:w="108" w:type="dxa"/>
          </w:tblCellMar>
        </w:tblPrEx>
        <w:trPr>
          <w:gridBefore w:val="1"/>
          <w:gridAfter w:val="1"/>
          <w:wBefore w:w="107" w:type="dxa"/>
          <w:wAfter w:w="79" w:type="dxa"/>
          <w:trHeight w:val="375" w:hRule="atLeast"/>
        </w:trPr>
        <w:tc>
          <w:tcPr>
            <w:tcW w:w="9453" w:type="dxa"/>
            <w:gridSpan w:val="18"/>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07" w:type="dxa"/>
          <w:wAfter w:w="79" w:type="dxa"/>
          <w:trHeight w:val="405" w:hRule="atLeast"/>
        </w:trPr>
        <w:tc>
          <w:tcPr>
            <w:tcW w:w="4350" w:type="dxa"/>
            <w:gridSpan w:val="7"/>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编制部门：哈密市伊州区审计局</w:t>
            </w:r>
          </w:p>
        </w:tc>
        <w:tc>
          <w:tcPr>
            <w:tcW w:w="1213"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464" w:type="dxa"/>
            <w:gridSpan w:val="3"/>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6"/>
            <w:tcBorders>
              <w:top w:val="nil"/>
              <w:left w:val="nil"/>
              <w:bottom w:val="nil"/>
              <w:right w:val="nil"/>
            </w:tcBorders>
            <w:shd w:val="clear" w:color="auto" w:fill="auto"/>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90" w:type="dxa"/>
            <w:gridSpan w:val="4"/>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97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329" w:type="dxa"/>
            <w:vMerge w:val="restart"/>
            <w:shd w:val="clear" w:color="auto" w:fill="auto"/>
            <w:vAlign w:val="center"/>
          </w:tcPr>
          <w:p>
            <w:pPr>
              <w:jc w:val="center"/>
              <w:rPr>
                <w:rFonts w:ascii="Calibri" w:hAnsi="Calibri"/>
                <w:sz w:val="24"/>
              </w:rPr>
            </w:pPr>
            <w:r>
              <w:rPr>
                <w:rFonts w:hint="eastAsia" w:ascii="仿宋_GB2312" w:hAnsi="宋体" w:eastAsia="仿宋_GB2312"/>
                <w:b/>
                <w:kern w:val="0"/>
                <w:sz w:val="24"/>
              </w:rPr>
              <w:t>项目名称</w:t>
            </w:r>
          </w:p>
        </w:tc>
        <w:tc>
          <w:tcPr>
            <w:tcW w:w="79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21"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754"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434"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468"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96" w:type="dxa"/>
            <w:gridSpan w:val="2"/>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978"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p>
        </w:tc>
        <w:tc>
          <w:tcPr>
            <w:tcW w:w="1329"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9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21"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54"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34"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68"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96" w:type="dxa"/>
            <w:gridSpan w:val="2"/>
            <w:shd w:val="clear" w:color="auto" w:fill="auto"/>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201</w:t>
            </w:r>
          </w:p>
        </w:tc>
        <w:tc>
          <w:tcPr>
            <w:tcW w:w="397" w:type="dxa"/>
            <w:shd w:val="clear" w:color="auto" w:fill="auto"/>
          </w:tcPr>
          <w:p>
            <w:pPr>
              <w:widowControl/>
              <w:outlineLvl w:val="1"/>
              <w:rPr>
                <w:rFonts w:ascii="仿宋_GB2312" w:hAnsi="宋体" w:eastAsia="仿宋_GB2312"/>
                <w:kern w:val="0"/>
                <w:sz w:val="18"/>
                <w:szCs w:val="18"/>
              </w:rPr>
            </w:pPr>
          </w:p>
        </w:tc>
        <w:tc>
          <w:tcPr>
            <w:tcW w:w="397" w:type="dxa"/>
            <w:shd w:val="clear" w:color="auto" w:fill="auto"/>
          </w:tcPr>
          <w:p>
            <w:pPr>
              <w:widowControl/>
              <w:outlineLvl w:val="1"/>
              <w:rPr>
                <w:rFonts w:ascii="仿宋_GB2312" w:hAnsi="宋体" w:eastAsia="仿宋_GB2312"/>
                <w:kern w:val="0"/>
                <w:sz w:val="18"/>
                <w:szCs w:val="18"/>
              </w:rPr>
            </w:pPr>
          </w:p>
        </w:tc>
        <w:tc>
          <w:tcPr>
            <w:tcW w:w="978" w:type="dxa"/>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329" w:type="dxa"/>
            <w:shd w:val="clear" w:color="auto" w:fill="auto"/>
          </w:tcPr>
          <w:p>
            <w:pPr>
              <w:widowControl/>
              <w:jc w:val="left"/>
              <w:outlineLvl w:val="1"/>
              <w:rPr>
                <w:rFonts w:ascii="仿宋_GB2312" w:hAnsi="宋体" w:eastAsia="仿宋_GB2312"/>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434" w:type="dxa"/>
            <w:shd w:val="clear" w:color="auto" w:fill="auto"/>
          </w:tcPr>
          <w:p>
            <w:pPr>
              <w:widowControl/>
              <w:jc w:val="left"/>
              <w:outlineLvl w:val="1"/>
              <w:rPr>
                <w:rFonts w:ascii="仿宋_GB2312" w:hAnsi="宋体" w:eastAsia="仿宋_GB2312"/>
                <w:kern w:val="0"/>
                <w:sz w:val="18"/>
                <w:szCs w:val="18"/>
              </w:rPr>
            </w:pPr>
          </w:p>
        </w:tc>
        <w:tc>
          <w:tcPr>
            <w:tcW w:w="652" w:type="dxa"/>
            <w:shd w:val="clear" w:color="auto" w:fill="auto"/>
          </w:tcPr>
          <w:p>
            <w:pPr>
              <w:widowControl/>
              <w:jc w:val="left"/>
              <w:outlineLvl w:val="1"/>
              <w:rPr>
                <w:rFonts w:ascii="仿宋_GB2312" w:hAnsi="宋体" w:eastAsia="仿宋_GB2312"/>
                <w:kern w:val="0"/>
                <w:sz w:val="18"/>
                <w:szCs w:val="18"/>
              </w:rPr>
            </w:pPr>
          </w:p>
        </w:tc>
        <w:tc>
          <w:tcPr>
            <w:tcW w:w="578" w:type="dxa"/>
            <w:gridSpan w:val="2"/>
            <w:shd w:val="clear" w:color="auto" w:fill="auto"/>
          </w:tcPr>
          <w:p>
            <w:pPr>
              <w:widowControl/>
              <w:jc w:val="left"/>
              <w:outlineLvl w:val="1"/>
              <w:rPr>
                <w:rFonts w:ascii="仿宋_GB2312" w:hAnsi="宋体" w:eastAsia="仿宋_GB2312"/>
                <w:kern w:val="0"/>
                <w:sz w:val="18"/>
                <w:szCs w:val="18"/>
              </w:rPr>
            </w:pPr>
          </w:p>
        </w:tc>
        <w:tc>
          <w:tcPr>
            <w:tcW w:w="419" w:type="dxa"/>
            <w:shd w:val="clear" w:color="auto" w:fill="auto"/>
          </w:tcPr>
          <w:p>
            <w:pPr>
              <w:widowControl/>
              <w:jc w:val="left"/>
              <w:outlineLvl w:val="1"/>
              <w:rPr>
                <w:rFonts w:ascii="仿宋_GB2312" w:hAnsi="宋体" w:eastAsia="仿宋_GB2312"/>
                <w:kern w:val="0"/>
                <w:sz w:val="18"/>
                <w:szCs w:val="18"/>
              </w:rPr>
            </w:pPr>
          </w:p>
        </w:tc>
        <w:tc>
          <w:tcPr>
            <w:tcW w:w="578"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68" w:type="dxa"/>
            <w:gridSpan w:val="2"/>
            <w:shd w:val="clear" w:color="auto" w:fill="auto"/>
          </w:tcPr>
          <w:p>
            <w:pPr>
              <w:widowControl/>
              <w:jc w:val="left"/>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96" w:type="dxa"/>
            <w:gridSpan w:val="2"/>
            <w:shd w:val="clear" w:color="auto" w:fill="auto"/>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201</w:t>
            </w:r>
          </w:p>
        </w:tc>
        <w:tc>
          <w:tcPr>
            <w:tcW w:w="397" w:type="dxa"/>
            <w:shd w:val="clear" w:color="auto" w:fill="auto"/>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08</w:t>
            </w:r>
          </w:p>
        </w:tc>
        <w:tc>
          <w:tcPr>
            <w:tcW w:w="397" w:type="dxa"/>
            <w:shd w:val="clear" w:color="auto" w:fill="auto"/>
          </w:tcPr>
          <w:p>
            <w:pPr>
              <w:widowControl/>
              <w:outlineLvl w:val="1"/>
              <w:rPr>
                <w:rFonts w:ascii="仿宋_GB2312" w:hAnsi="宋体" w:eastAsia="仿宋_GB2312"/>
                <w:kern w:val="0"/>
                <w:sz w:val="18"/>
                <w:szCs w:val="18"/>
              </w:rPr>
            </w:pPr>
          </w:p>
        </w:tc>
        <w:tc>
          <w:tcPr>
            <w:tcW w:w="978" w:type="dxa"/>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审计事务</w:t>
            </w:r>
          </w:p>
        </w:tc>
        <w:tc>
          <w:tcPr>
            <w:tcW w:w="1329" w:type="dxa"/>
            <w:shd w:val="clear" w:color="auto" w:fill="auto"/>
          </w:tcPr>
          <w:p>
            <w:pPr>
              <w:widowControl/>
              <w:jc w:val="left"/>
              <w:outlineLvl w:val="1"/>
              <w:rPr>
                <w:rFonts w:ascii="仿宋_GB2312" w:hAnsi="宋体" w:eastAsia="仿宋_GB2312"/>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434" w:type="dxa"/>
            <w:shd w:val="clear" w:color="auto" w:fill="auto"/>
          </w:tcPr>
          <w:p>
            <w:pPr>
              <w:widowControl/>
              <w:jc w:val="left"/>
              <w:outlineLvl w:val="1"/>
              <w:rPr>
                <w:rFonts w:ascii="仿宋_GB2312" w:hAnsi="宋体" w:eastAsia="仿宋_GB2312"/>
                <w:kern w:val="0"/>
                <w:sz w:val="18"/>
                <w:szCs w:val="18"/>
              </w:rPr>
            </w:pPr>
          </w:p>
        </w:tc>
        <w:tc>
          <w:tcPr>
            <w:tcW w:w="652" w:type="dxa"/>
            <w:shd w:val="clear" w:color="auto" w:fill="auto"/>
          </w:tcPr>
          <w:p>
            <w:pPr>
              <w:widowControl/>
              <w:jc w:val="left"/>
              <w:outlineLvl w:val="1"/>
              <w:rPr>
                <w:rFonts w:ascii="仿宋_GB2312" w:hAnsi="宋体" w:eastAsia="仿宋_GB2312"/>
                <w:kern w:val="0"/>
                <w:sz w:val="18"/>
                <w:szCs w:val="18"/>
              </w:rPr>
            </w:pPr>
          </w:p>
        </w:tc>
        <w:tc>
          <w:tcPr>
            <w:tcW w:w="578" w:type="dxa"/>
            <w:gridSpan w:val="2"/>
            <w:shd w:val="clear" w:color="auto" w:fill="auto"/>
          </w:tcPr>
          <w:p>
            <w:pPr>
              <w:widowControl/>
              <w:jc w:val="left"/>
              <w:outlineLvl w:val="1"/>
              <w:rPr>
                <w:rFonts w:ascii="仿宋_GB2312" w:hAnsi="宋体" w:eastAsia="仿宋_GB2312"/>
                <w:kern w:val="0"/>
                <w:sz w:val="18"/>
                <w:szCs w:val="18"/>
              </w:rPr>
            </w:pPr>
          </w:p>
        </w:tc>
        <w:tc>
          <w:tcPr>
            <w:tcW w:w="419" w:type="dxa"/>
            <w:shd w:val="clear" w:color="auto" w:fill="auto"/>
          </w:tcPr>
          <w:p>
            <w:pPr>
              <w:widowControl/>
              <w:jc w:val="left"/>
              <w:outlineLvl w:val="1"/>
              <w:rPr>
                <w:rFonts w:ascii="仿宋_GB2312" w:hAnsi="宋体" w:eastAsia="仿宋_GB2312"/>
                <w:kern w:val="0"/>
                <w:sz w:val="18"/>
                <w:szCs w:val="18"/>
              </w:rPr>
            </w:pPr>
          </w:p>
        </w:tc>
        <w:tc>
          <w:tcPr>
            <w:tcW w:w="578"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68" w:type="dxa"/>
            <w:gridSpan w:val="2"/>
            <w:shd w:val="clear" w:color="auto" w:fill="auto"/>
          </w:tcPr>
          <w:p>
            <w:pPr>
              <w:widowControl/>
              <w:jc w:val="left"/>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201</w:t>
            </w:r>
          </w:p>
        </w:tc>
        <w:tc>
          <w:tcPr>
            <w:tcW w:w="397"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08</w:t>
            </w:r>
          </w:p>
        </w:tc>
        <w:tc>
          <w:tcPr>
            <w:tcW w:w="397"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99</w:t>
            </w:r>
          </w:p>
        </w:tc>
        <w:tc>
          <w:tcPr>
            <w:tcW w:w="978" w:type="dxa"/>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其他审计事务支出</w:t>
            </w:r>
          </w:p>
        </w:tc>
        <w:tc>
          <w:tcPr>
            <w:tcW w:w="1329"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2021委托中介审计审核费</w:t>
            </w:r>
          </w:p>
        </w:tc>
        <w:tc>
          <w:tcPr>
            <w:tcW w:w="798"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434" w:type="dxa"/>
            <w:shd w:val="clear" w:color="auto" w:fill="auto"/>
          </w:tcPr>
          <w:p>
            <w:pPr>
              <w:widowControl/>
              <w:jc w:val="left"/>
              <w:outlineLvl w:val="1"/>
              <w:rPr>
                <w:rFonts w:ascii="仿宋_GB2312" w:hAnsi="宋体" w:eastAsia="仿宋_GB2312"/>
                <w:kern w:val="0"/>
                <w:sz w:val="18"/>
                <w:szCs w:val="18"/>
              </w:rPr>
            </w:pPr>
          </w:p>
        </w:tc>
        <w:tc>
          <w:tcPr>
            <w:tcW w:w="652" w:type="dxa"/>
            <w:shd w:val="clear" w:color="auto" w:fill="auto"/>
          </w:tcPr>
          <w:p>
            <w:pPr>
              <w:widowControl/>
              <w:jc w:val="left"/>
              <w:outlineLvl w:val="1"/>
              <w:rPr>
                <w:rFonts w:ascii="仿宋_GB2312" w:hAnsi="宋体" w:eastAsia="仿宋_GB2312"/>
                <w:kern w:val="0"/>
                <w:sz w:val="18"/>
                <w:szCs w:val="18"/>
              </w:rPr>
            </w:pPr>
          </w:p>
        </w:tc>
        <w:tc>
          <w:tcPr>
            <w:tcW w:w="578" w:type="dxa"/>
            <w:gridSpan w:val="2"/>
            <w:shd w:val="clear" w:color="auto" w:fill="auto"/>
          </w:tcPr>
          <w:p>
            <w:pPr>
              <w:widowControl/>
              <w:jc w:val="left"/>
              <w:outlineLvl w:val="1"/>
              <w:rPr>
                <w:rFonts w:ascii="仿宋_GB2312" w:hAnsi="宋体" w:eastAsia="仿宋_GB2312"/>
                <w:kern w:val="0"/>
                <w:sz w:val="18"/>
                <w:szCs w:val="18"/>
              </w:rPr>
            </w:pPr>
          </w:p>
        </w:tc>
        <w:tc>
          <w:tcPr>
            <w:tcW w:w="419" w:type="dxa"/>
            <w:shd w:val="clear" w:color="auto" w:fill="auto"/>
          </w:tcPr>
          <w:p>
            <w:pPr>
              <w:widowControl/>
              <w:jc w:val="left"/>
              <w:outlineLvl w:val="1"/>
              <w:rPr>
                <w:rFonts w:ascii="仿宋_GB2312" w:hAnsi="宋体" w:eastAsia="仿宋_GB2312"/>
                <w:kern w:val="0"/>
                <w:sz w:val="18"/>
                <w:szCs w:val="18"/>
              </w:rPr>
            </w:pPr>
          </w:p>
        </w:tc>
        <w:tc>
          <w:tcPr>
            <w:tcW w:w="578"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68"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201</w:t>
            </w:r>
          </w:p>
        </w:tc>
        <w:tc>
          <w:tcPr>
            <w:tcW w:w="397"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08</w:t>
            </w:r>
          </w:p>
        </w:tc>
        <w:tc>
          <w:tcPr>
            <w:tcW w:w="397"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99</w:t>
            </w:r>
          </w:p>
        </w:tc>
        <w:tc>
          <w:tcPr>
            <w:tcW w:w="978" w:type="dxa"/>
            <w:shd w:val="clear" w:color="auto" w:fill="auto"/>
            <w:vAlign w:val="bottom"/>
          </w:tcPr>
          <w:p>
            <w:pPr>
              <w:widowControl/>
              <w:spacing w:line="300" w:lineRule="exact"/>
              <w:jc w:val="left"/>
              <w:textAlignment w:val="bottom"/>
              <w:rPr>
                <w:rFonts w:ascii="仿宋_GB2312" w:hAnsi="宋体" w:eastAsia="仿宋_GB2312" w:cs="宋体"/>
                <w:kern w:val="0"/>
                <w:sz w:val="18"/>
                <w:szCs w:val="18"/>
              </w:rPr>
            </w:pPr>
            <w:r>
              <w:rPr>
                <w:rFonts w:hint="eastAsia" w:ascii="仿宋_GB2312" w:hAnsi="宋体" w:eastAsia="仿宋_GB2312" w:cs="宋体"/>
                <w:kern w:val="0"/>
                <w:sz w:val="18"/>
                <w:szCs w:val="18"/>
              </w:rPr>
              <w:t>其他审计事务支出</w:t>
            </w:r>
          </w:p>
        </w:tc>
        <w:tc>
          <w:tcPr>
            <w:tcW w:w="1329"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2021年政府投资审计软件升级经费</w:t>
            </w:r>
          </w:p>
        </w:tc>
        <w:tc>
          <w:tcPr>
            <w:tcW w:w="798"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434" w:type="dxa"/>
            <w:shd w:val="clear" w:color="auto" w:fill="auto"/>
          </w:tcPr>
          <w:p>
            <w:pPr>
              <w:widowControl/>
              <w:jc w:val="left"/>
              <w:outlineLvl w:val="1"/>
              <w:rPr>
                <w:rFonts w:ascii="仿宋_GB2312" w:hAnsi="宋体" w:eastAsia="仿宋_GB2312"/>
                <w:kern w:val="0"/>
                <w:sz w:val="18"/>
                <w:szCs w:val="18"/>
              </w:rPr>
            </w:pPr>
          </w:p>
        </w:tc>
        <w:tc>
          <w:tcPr>
            <w:tcW w:w="652" w:type="dxa"/>
            <w:shd w:val="clear" w:color="auto" w:fill="auto"/>
          </w:tcPr>
          <w:p>
            <w:pPr>
              <w:widowControl/>
              <w:jc w:val="left"/>
              <w:outlineLvl w:val="1"/>
              <w:rPr>
                <w:rFonts w:ascii="仿宋_GB2312" w:hAnsi="宋体" w:eastAsia="仿宋_GB2312"/>
                <w:kern w:val="0"/>
                <w:sz w:val="18"/>
                <w:szCs w:val="18"/>
              </w:rPr>
            </w:pPr>
          </w:p>
        </w:tc>
        <w:tc>
          <w:tcPr>
            <w:tcW w:w="578" w:type="dxa"/>
            <w:gridSpan w:val="2"/>
            <w:shd w:val="clear" w:color="auto" w:fill="auto"/>
          </w:tcPr>
          <w:p>
            <w:pPr>
              <w:widowControl/>
              <w:jc w:val="left"/>
              <w:outlineLvl w:val="1"/>
              <w:rPr>
                <w:rFonts w:ascii="仿宋_GB2312" w:hAnsi="宋体" w:eastAsia="仿宋_GB2312"/>
                <w:kern w:val="0"/>
                <w:sz w:val="18"/>
                <w:szCs w:val="18"/>
              </w:rPr>
            </w:pPr>
          </w:p>
        </w:tc>
        <w:tc>
          <w:tcPr>
            <w:tcW w:w="419" w:type="dxa"/>
            <w:shd w:val="clear" w:color="auto" w:fill="auto"/>
          </w:tcPr>
          <w:p>
            <w:pPr>
              <w:widowControl/>
              <w:jc w:val="left"/>
              <w:outlineLvl w:val="1"/>
              <w:rPr>
                <w:rFonts w:ascii="仿宋_GB2312" w:hAnsi="宋体" w:eastAsia="仿宋_GB2312"/>
                <w:kern w:val="0"/>
                <w:sz w:val="18"/>
                <w:szCs w:val="18"/>
              </w:rPr>
            </w:pPr>
          </w:p>
        </w:tc>
        <w:tc>
          <w:tcPr>
            <w:tcW w:w="578"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20" w:type="dxa"/>
            <w:shd w:val="clear" w:color="auto" w:fill="auto"/>
          </w:tcPr>
          <w:p>
            <w:pPr>
              <w:widowControl/>
              <w:jc w:val="left"/>
              <w:outlineLvl w:val="1"/>
              <w:rPr>
                <w:rFonts w:ascii="仿宋_GB2312" w:hAnsi="宋体" w:eastAsia="仿宋_GB2312"/>
                <w:kern w:val="0"/>
                <w:sz w:val="18"/>
                <w:szCs w:val="18"/>
              </w:rPr>
            </w:pPr>
          </w:p>
        </w:tc>
        <w:tc>
          <w:tcPr>
            <w:tcW w:w="468"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tcPr>
          <w:p>
            <w:pPr>
              <w:widowControl/>
              <w:spacing w:line="300" w:lineRule="exact"/>
              <w:jc w:val="right"/>
              <w:rPr>
                <w:rFonts w:ascii="仿宋_GB2312" w:hAnsi="宋体" w:eastAsia="仿宋_GB2312" w:cs="宋体"/>
                <w:kern w:val="0"/>
                <w:sz w:val="18"/>
                <w:szCs w:val="18"/>
              </w:rPr>
            </w:pPr>
          </w:p>
        </w:tc>
        <w:tc>
          <w:tcPr>
            <w:tcW w:w="798" w:type="dxa"/>
            <w:shd w:val="clear" w:color="auto" w:fill="auto"/>
          </w:tcPr>
          <w:p>
            <w:pPr>
              <w:widowControl/>
              <w:spacing w:line="300" w:lineRule="exact"/>
              <w:jc w:val="right"/>
              <w:rPr>
                <w:rFonts w:ascii="仿宋_GB2312" w:hAnsi="宋体" w:eastAsia="仿宋_GB2312" w:cs="宋体"/>
                <w:kern w:val="0"/>
                <w:sz w:val="18"/>
                <w:szCs w:val="18"/>
              </w:rPr>
            </w:pP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496"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978" w:type="dxa"/>
            <w:shd w:val="clear" w:color="auto" w:fill="auto"/>
          </w:tcPr>
          <w:p>
            <w:pPr>
              <w:widowControl/>
              <w:spacing w:line="300" w:lineRule="exact"/>
              <w:jc w:val="right"/>
              <w:rPr>
                <w:rFonts w:ascii="仿宋_GB2312" w:hAnsi="宋体" w:eastAsia="仿宋_GB2312" w:cs="宋体"/>
                <w:kern w:val="0"/>
                <w:sz w:val="18"/>
                <w:szCs w:val="18"/>
              </w:rPr>
            </w:pPr>
          </w:p>
        </w:tc>
        <w:tc>
          <w:tcPr>
            <w:tcW w:w="1329"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798"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521"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754"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434" w:type="dxa"/>
            <w:shd w:val="clear" w:color="auto" w:fill="auto"/>
          </w:tcPr>
          <w:p>
            <w:pPr>
              <w:widowControl/>
              <w:spacing w:line="300" w:lineRule="exact"/>
              <w:jc w:val="right"/>
              <w:rPr>
                <w:rFonts w:ascii="仿宋_GB2312" w:hAnsi="宋体" w:eastAsia="仿宋_GB2312" w:cs="宋体"/>
                <w:kern w:val="0"/>
                <w:sz w:val="18"/>
                <w:szCs w:val="18"/>
              </w:rPr>
            </w:pPr>
          </w:p>
        </w:tc>
        <w:tc>
          <w:tcPr>
            <w:tcW w:w="652"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19" w:type="dxa"/>
            <w:shd w:val="clear" w:color="auto" w:fill="auto"/>
          </w:tcPr>
          <w:p>
            <w:pPr>
              <w:widowControl/>
              <w:spacing w:line="300" w:lineRule="exact"/>
              <w:jc w:val="right"/>
              <w:rPr>
                <w:rFonts w:ascii="仿宋_GB2312" w:hAnsi="宋体" w:eastAsia="仿宋_GB2312" w:cs="宋体"/>
                <w:kern w:val="0"/>
                <w:sz w:val="18"/>
                <w:szCs w:val="18"/>
              </w:rPr>
            </w:pPr>
          </w:p>
        </w:tc>
        <w:tc>
          <w:tcPr>
            <w:tcW w:w="578"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20" w:type="dxa"/>
            <w:shd w:val="clear" w:color="auto" w:fill="auto"/>
          </w:tcPr>
          <w:p>
            <w:pPr>
              <w:widowControl/>
              <w:spacing w:line="300" w:lineRule="exact"/>
              <w:jc w:val="right"/>
              <w:rPr>
                <w:rFonts w:ascii="仿宋_GB2312" w:hAnsi="宋体" w:eastAsia="仿宋_GB2312" w:cs="宋体"/>
                <w:kern w:val="0"/>
                <w:sz w:val="18"/>
                <w:szCs w:val="18"/>
              </w:rPr>
            </w:pPr>
          </w:p>
        </w:tc>
        <w:tc>
          <w:tcPr>
            <w:tcW w:w="468" w:type="dxa"/>
            <w:gridSpan w:val="2"/>
            <w:shd w:val="clear" w:color="auto" w:fill="auto"/>
          </w:tcPr>
          <w:p>
            <w:pPr>
              <w:widowControl/>
              <w:spacing w:line="300" w:lineRule="exact"/>
              <w:jc w:val="right"/>
              <w:rPr>
                <w:rFonts w:ascii="仿宋_GB2312" w:hAnsi="宋体" w:eastAsia="仿宋_GB2312" w:cs="宋体"/>
                <w:kern w:val="0"/>
                <w:sz w:val="18"/>
                <w:szCs w:val="18"/>
              </w:rPr>
            </w:pPr>
          </w:p>
        </w:tc>
      </w:tr>
    </w:tbl>
    <w:p>
      <w:pPr>
        <w:rPr>
          <w:rFonts w:ascii="仿宋_GB2312" w:hAnsi="宋体" w:eastAsia="仿宋_GB2312"/>
          <w:b/>
          <w:kern w:val="0"/>
          <w:sz w:val="28"/>
          <w:szCs w:val="32"/>
        </w:rPr>
      </w:pPr>
      <w:r>
        <w:rPr>
          <w:rFonts w:ascii="仿宋_GB2312" w:hAnsi="宋体" w:eastAsia="仿宋_GB2312"/>
          <w:b/>
          <w:kern w:val="0"/>
          <w:sz w:val="28"/>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编制单位：哈密市伊州区审计局                               单位：万元</w:t>
      </w:r>
    </w:p>
    <w:tbl>
      <w:tblPr>
        <w:tblStyle w:val="6"/>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6.51</w:t>
            </w:r>
          </w:p>
        </w:tc>
        <w:tc>
          <w:tcPr>
            <w:tcW w:w="141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6.51</w:t>
            </w:r>
          </w:p>
        </w:tc>
        <w:tc>
          <w:tcPr>
            <w:tcW w:w="141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6.51</w:t>
            </w:r>
          </w:p>
        </w:tc>
        <w:tc>
          <w:tcPr>
            <w:tcW w:w="1712"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712"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bl>
    <w:p>
      <w:pPr>
        <w:rPr>
          <w:rFonts w:ascii="仿宋_GB2312" w:hAnsi="宋体" w:eastAsia="仿宋_GB2312"/>
          <w:kern w:val="0"/>
          <w:sz w:val="32"/>
          <w:szCs w:val="32"/>
        </w:rPr>
      </w:pPr>
      <w:r>
        <w:rPr>
          <w:rFonts w:ascii="仿宋_GB2312" w:hAnsi="宋体" w:eastAsia="仿宋_GB2312"/>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编制单位：哈密市伊州区审计局                                单位：万元</w:t>
      </w:r>
    </w:p>
    <w:tbl>
      <w:tblPr>
        <w:tblStyle w:val="6"/>
        <w:tblW w:w="9214" w:type="dxa"/>
        <w:tblInd w:w="-34" w:type="dxa"/>
        <w:tblLayout w:type="fixed"/>
        <w:tblCellMar>
          <w:top w:w="0" w:type="dxa"/>
          <w:left w:w="108" w:type="dxa"/>
          <w:bottom w:w="0" w:type="dxa"/>
          <w:right w:w="108" w:type="dxa"/>
        </w:tblCellMar>
      </w:tblPr>
      <w:tblGrid>
        <w:gridCol w:w="585"/>
        <w:gridCol w:w="457"/>
        <w:gridCol w:w="457"/>
        <w:gridCol w:w="2896"/>
        <w:gridCol w:w="1559"/>
        <w:gridCol w:w="1701"/>
        <w:gridCol w:w="1559"/>
      </w:tblGrid>
      <w:tr>
        <w:tblPrEx>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bl>
    <w:p>
      <w:pPr>
        <w:widowControl/>
        <w:jc w:val="left"/>
        <w:outlineLvl w:val="1"/>
        <w:rPr>
          <w:rFonts w:ascii="仿宋_GB2312" w:hAnsi="宋体" w:eastAsia="仿宋_GB2312"/>
          <w:kern w:val="0"/>
          <w:sz w:val="32"/>
          <w:szCs w:val="32"/>
        </w:rPr>
        <w:sectPr>
          <w:footerReference r:id="rId5" w:type="default"/>
          <w:footerReference r:id="rId6" w:type="even"/>
          <w:pgSz w:w="11906" w:h="16838"/>
          <w:pgMar w:top="2098" w:right="1418" w:bottom="1928" w:left="1588" w:header="851" w:footer="992" w:gutter="0"/>
          <w:pgNumType w:fmt="numberInDash"/>
          <w:cols w:space="720" w:num="1"/>
          <w:docGrid w:linePitch="312" w:charSpace="0"/>
        </w:sectPr>
      </w:pPr>
      <w:r>
        <w:rPr>
          <w:rFonts w:hint="eastAsia" w:ascii="仿宋_GB2312" w:hAnsi="宋体" w:eastAsia="仿宋_GB2312"/>
          <w:b/>
          <w:kern w:val="0"/>
          <w:sz w:val="28"/>
          <w:szCs w:val="32"/>
        </w:rPr>
        <w:t>备注：本年无政府性基金预算支出预算安排，此表为空表。</w:t>
      </w: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关于哈密市伊州区审计局2021年收支预算情况的总体说明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按照全口径预算的原则，哈密市伊州区审计局2021年所有收入和支出均纳入部门预算管理。收支总预算678.35万元。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支出预算包括：一般公共服务支出、社会保障和就业支出、住房保障支出。</w:t>
      </w:r>
    </w:p>
    <w:p>
      <w:pPr>
        <w:spacing w:line="560" w:lineRule="exact"/>
        <w:ind w:firstLine="640" w:firstLineChars="200"/>
        <w:rPr>
          <w:rFonts w:ascii="仿宋" w:hAnsi="仿宋" w:eastAsia="仿宋" w:cs="仿宋_GB2312"/>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二、关于哈密市伊州区审计局2021年收入预算情况说明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哈密市伊州区审计局收入预算678.35万元，其中：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一般公共预算678.35万元，占100%，比上年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减少15.11万元，主要原因是（1）人员工资减少;（2）社保缴费减少；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三、关于伊州区审计局单位2021年支出预算情况说明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哈密市伊州区审计局2021年支出预算678.35万元，其中：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基本支出572.35万元,占84.37</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减少16.41万元，主要原因是：（1）人员工资减少;（2）社保缴费减少。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项目支出106万元，占15.63%，比上年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增加1.3</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万元，主要原因是：软件升级年费合同金额增加。</w:t>
      </w:r>
    </w:p>
    <w:p>
      <w:pPr>
        <w:spacing w:line="560" w:lineRule="exact"/>
        <w:ind w:firstLine="640" w:firstLineChars="200"/>
        <w:rPr>
          <w:rFonts w:ascii="仿宋" w:hAnsi="仿宋" w:eastAsia="仿宋" w:cs="宋体"/>
          <w:sz w:val="32"/>
          <w:szCs w:val="32"/>
        </w:rPr>
      </w:pP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四、关于哈密市伊州区审计局2021年财政拨款收支预算情的总体说明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2021年财政拨款收支总预算678.35万元。</w:t>
      </w:r>
    </w:p>
    <w:p>
      <w:pPr>
        <w:spacing w:line="55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5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收入预算包括：一般公共预算拨款678.35万元。</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一般公共预算支出预算包括：一般公共服务支出595.28万元，主要用于保障机关正常运行的人员经费、公用经费和项目经费</w:t>
      </w:r>
      <w:r>
        <w:rPr>
          <w:rFonts w:ascii="仿宋_GB2312" w:hAnsi="宋体" w:eastAsia="仿宋_GB2312" w:cs="宋体"/>
          <w:kern w:val="0"/>
          <w:sz w:val="32"/>
          <w:szCs w:val="32"/>
        </w:rPr>
        <w:t>；</w:t>
      </w:r>
      <w:r>
        <w:rPr>
          <w:rFonts w:hint="eastAsia" w:ascii="仿宋_GB2312" w:hAnsi="宋体" w:eastAsia="仿宋_GB2312" w:cs="宋体"/>
          <w:kern w:val="0"/>
          <w:sz w:val="32"/>
          <w:szCs w:val="32"/>
        </w:rPr>
        <w:t>社会保障和就业支出49.51万元，</w:t>
      </w:r>
      <w:r>
        <w:rPr>
          <w:rFonts w:ascii="仿宋_GB2312" w:hAnsi="宋体" w:eastAsia="仿宋_GB2312" w:cs="宋体"/>
          <w:kern w:val="0"/>
          <w:sz w:val="32"/>
          <w:szCs w:val="32"/>
        </w:rPr>
        <w:t>主要用于机关养老保险的缴纳；</w:t>
      </w:r>
      <w:r>
        <w:rPr>
          <w:rFonts w:hint="eastAsia" w:ascii="仿宋_GB2312" w:hAnsi="宋体" w:eastAsia="仿宋_GB2312" w:cs="宋体"/>
          <w:kern w:val="0"/>
          <w:sz w:val="32"/>
          <w:szCs w:val="32"/>
        </w:rPr>
        <w:t>住房保障支出33.56万元，</w:t>
      </w:r>
      <w:r>
        <w:rPr>
          <w:rFonts w:ascii="仿宋_GB2312" w:hAnsi="宋体" w:eastAsia="仿宋_GB2312" w:cs="宋体"/>
          <w:kern w:val="0"/>
          <w:sz w:val="32"/>
          <w:szCs w:val="32"/>
        </w:rPr>
        <w:t>主要用于住房公积金的缴纳</w:t>
      </w:r>
      <w:r>
        <w:rPr>
          <w:rFonts w:hint="eastAsia" w:ascii="仿宋_GB2312" w:hAnsi="宋体" w:eastAsia="仿宋_GB2312" w:cs="宋体"/>
          <w:kern w:val="0"/>
          <w:sz w:val="32"/>
          <w:szCs w:val="32"/>
        </w:rPr>
        <w:t>。</w:t>
      </w:r>
    </w:p>
    <w:p>
      <w:pPr>
        <w:spacing w:line="550" w:lineRule="exact"/>
        <w:ind w:firstLine="640" w:firstLineChars="200"/>
        <w:rPr>
          <w:rFonts w:ascii="仿宋" w:hAnsi="仿宋" w:eastAsia="仿宋" w:cs="宋体"/>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五、关于哈密市伊州区审计局2021年一般公共预算当年拨款情况说明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（一）一般公用预算当年拨款规模变化情况</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2021年一般公共预算拨款合计678.35万元，其中：基本支出572.35万元，比上年预算数减少16.41万元，下降2.79%，主要原因是：（1）人员工资减少;（2）社保缴费减少。项目支出106万元，比上年预算数增加1.3万元，增长1.24%，主要原因是：软件升级年费合同金额增加。</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1.一般公共服务支出（201类）595.28万元，占87.75</w:t>
      </w:r>
      <w:r>
        <w:rPr>
          <w:rFonts w:ascii="仿宋_GB2312" w:hAnsi="宋体" w:eastAsia="仿宋_GB2312" w:cs="宋体"/>
          <w:kern w:val="0"/>
          <w:sz w:val="32"/>
          <w:szCs w:val="32"/>
        </w:rPr>
        <w:t>%</w:t>
      </w:r>
      <w:r>
        <w:rPr>
          <w:rFonts w:hint="eastAsia" w:ascii="仿宋_GB2312" w:hAnsi="宋体" w:eastAsia="仿宋_GB2312" w:cs="宋体"/>
          <w:kern w:val="0"/>
          <w:sz w:val="32"/>
          <w:szCs w:val="32"/>
        </w:rPr>
        <w:t>；</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2.社会保障和就业支出（208类）49.51万元，占7.30</w:t>
      </w:r>
      <w:r>
        <w:rPr>
          <w:rFonts w:ascii="仿宋_GB2312" w:hAnsi="宋体" w:eastAsia="仿宋_GB2312" w:cs="宋体"/>
          <w:kern w:val="0"/>
          <w:sz w:val="32"/>
          <w:szCs w:val="32"/>
        </w:rPr>
        <w:t>%</w:t>
      </w:r>
      <w:r>
        <w:rPr>
          <w:rFonts w:hint="eastAsia" w:ascii="仿宋_GB2312" w:hAnsi="宋体" w:eastAsia="仿宋_GB2312" w:cs="宋体"/>
          <w:kern w:val="0"/>
          <w:sz w:val="32"/>
          <w:szCs w:val="32"/>
        </w:rPr>
        <w:t>；</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3.住房保障支出（221类）33.56万元，占4.95</w:t>
      </w:r>
      <w:r>
        <w:rPr>
          <w:rFonts w:ascii="仿宋_GB2312" w:hAnsi="宋体" w:eastAsia="仿宋_GB2312" w:cs="宋体"/>
          <w:kern w:val="0"/>
          <w:sz w:val="32"/>
          <w:szCs w:val="32"/>
        </w:rPr>
        <w:t>%</w:t>
      </w:r>
      <w:r>
        <w:rPr>
          <w:rFonts w:hint="eastAsia" w:ascii="仿宋_GB2312" w:hAnsi="宋体" w:eastAsia="仿宋_GB2312" w:cs="宋体"/>
          <w:kern w:val="0"/>
          <w:sz w:val="32"/>
          <w:szCs w:val="32"/>
        </w:rPr>
        <w:t>。</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spacing w:line="55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1.</w:t>
      </w:r>
      <w:r>
        <w:rPr>
          <w:rFonts w:hint="eastAsia" w:ascii="仿宋_GB2312" w:hAnsi="宋体" w:eastAsia="仿宋_GB2312" w:cs="宋体"/>
          <w:kern w:val="0"/>
          <w:sz w:val="32"/>
          <w:szCs w:val="32"/>
        </w:rPr>
        <w:t>一般公共服务支出（201类）审计事务（08款）行政运行（01项）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2021年预算数为595.28万元，比上年预算数增加20.33万元，增长3.54</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，主要原因是：人员工资增加。</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2.一般共服务支出（201类）审计事务（08款）其他审计事务支出（99项）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2021年预算数为106万元，比上年预算数增加1.3</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万元，增长1.24</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，主要原因是：上年软件升级年费合同金额增加。</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3.社会保障和就业支出（208类）社会保障和就业支出（05款）机关事业单位基本养老保险缴费支出（05项）2021年预算数为49.51万元，比上年预算数增加18.7</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万元，增长60.69</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，主要原因是：社保缴费比例上调，社保费用增加。</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4.住房保障支出（221类）住房改革支出（02款）住房公积金（01项）2021年预算数为33.56万元，比上年预算数增加15.87万元，增长89.71</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，主要原因是：人员工资增加，故住房公积金缴费增加。</w:t>
      </w:r>
    </w:p>
    <w:p>
      <w:pPr>
        <w:spacing w:line="560" w:lineRule="exact"/>
        <w:ind w:firstLine="640" w:firstLineChars="200"/>
        <w:rPr>
          <w:rFonts w:ascii="仿宋" w:hAnsi="仿宋" w:eastAsia="仿宋" w:cs="仿宋_GB2312"/>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六、关于哈密市伊州区审计局2021年一般公共预算基本支出情况说明</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哈密市伊州区审计局2021年一般公共预算基本支出</w:t>
      </w:r>
      <w:r>
        <w:rPr>
          <w:rFonts w:hint="eastAsia" w:ascii="仿宋_GB2312" w:hAnsi="宋体" w:eastAsia="仿宋_GB2312" w:cs="宋体"/>
          <w:kern w:val="0"/>
          <w:sz w:val="32"/>
          <w:szCs w:val="32"/>
          <w:lang w:val="en-US" w:eastAsia="zh-CN"/>
        </w:rPr>
        <w:t>572.35</w:t>
      </w:r>
      <w:r>
        <w:rPr>
          <w:rFonts w:hint="eastAsia" w:ascii="仿宋_GB2312" w:hAnsi="宋体" w:eastAsia="仿宋_GB2312" w:cs="宋体"/>
          <w:kern w:val="0"/>
          <w:sz w:val="32"/>
          <w:szCs w:val="32"/>
        </w:rPr>
        <w:t>万元，其中：</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ascii="仿宋_GB2312" w:hAnsi="宋体" w:eastAsia="仿宋_GB2312" w:cs="宋体"/>
          <w:kern w:val="0"/>
          <w:sz w:val="32"/>
          <w:szCs w:val="32"/>
        </w:rPr>
        <w:t>548.80</w:t>
      </w:r>
      <w:r>
        <w:rPr>
          <w:rFonts w:hint="eastAsia" w:ascii="仿宋_GB2312" w:hAnsi="宋体" w:eastAsia="仿宋_GB2312" w:cs="宋体"/>
          <w:kern w:val="0"/>
          <w:sz w:val="32"/>
          <w:szCs w:val="32"/>
        </w:rPr>
        <w:t>万元：基本工资88.21万元、津贴补贴76.82万元、奖金17.26万元、机关事业单位基本养老保险缴费49.51万元、职业年金缴费6.5</w:t>
      </w:r>
      <w:r>
        <w:rPr>
          <w:rFonts w:ascii="仿宋_GB2312" w:hAnsi="宋体" w:eastAsia="仿宋_GB2312" w:cs="宋体"/>
          <w:kern w:val="0"/>
          <w:sz w:val="32"/>
          <w:szCs w:val="32"/>
        </w:rPr>
        <w:t>3</w:t>
      </w:r>
      <w:r>
        <w:rPr>
          <w:rFonts w:hint="eastAsia" w:ascii="仿宋_GB2312" w:hAnsi="宋体" w:eastAsia="仿宋_GB2312" w:cs="宋体"/>
          <w:kern w:val="0"/>
          <w:sz w:val="32"/>
          <w:szCs w:val="32"/>
        </w:rPr>
        <w:t>万元、职工基本医疗保险缴费31.48万元、其他社会保障缴费3.02万元、住房公积金33.5</w:t>
      </w:r>
      <w:r>
        <w:rPr>
          <w:rFonts w:ascii="仿宋_GB2312" w:hAnsi="宋体" w:eastAsia="仿宋_GB2312" w:cs="宋体"/>
          <w:kern w:val="0"/>
          <w:sz w:val="32"/>
          <w:szCs w:val="32"/>
        </w:rPr>
        <w:t>6</w:t>
      </w:r>
      <w:r>
        <w:rPr>
          <w:rFonts w:hint="eastAsia" w:ascii="仿宋_GB2312" w:hAnsi="宋体" w:eastAsia="仿宋_GB2312" w:cs="宋体"/>
          <w:kern w:val="0"/>
          <w:sz w:val="32"/>
          <w:szCs w:val="32"/>
        </w:rPr>
        <w:t>万元、其他工资福利支出239.56万元、对个人和家庭补助2.85万元，其中：退休费2.85万元。</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公用经费23.55万元，主要包括：办公费6.77万元、印刷费0.5</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万元、邮电费3.6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万元、差旅费0.5万元、培训费0.5</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万元、工会经费2.19万元、福利费1.97万元、公务用车运行维护费6.51万元、其他商品和服务支出1.01万元。</w:t>
      </w:r>
    </w:p>
    <w:p>
      <w:pPr>
        <w:spacing w:line="560" w:lineRule="exact"/>
        <w:ind w:firstLine="640" w:firstLineChars="200"/>
        <w:rPr>
          <w:rFonts w:ascii="仿宋" w:hAnsi="仿宋" w:eastAsia="仿宋" w:cs="仿宋_GB2312"/>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七、关于伊州区审计局2021年一般公共预算项目支出情况说明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《2021年政府投资审计软件升级经费》</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《关于申请伊州区政府投资审计工作软件升级经费的报告》</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6万元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哈密市伊州区审计局；</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资金一次性全部支付给广联达软件公司；服务期限为1年；</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2021年1月1日至2021年12月31日</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2.项目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《2021委托中介审计审核费》</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：依据</w:t>
      </w:r>
      <w:r>
        <w:rPr>
          <w:rFonts w:hint="eastAsia" w:ascii="仿宋_GB2312" w:hAnsi="宋体" w:eastAsia="仿宋_GB2312" w:cs="宋体"/>
          <w:kern w:val="0"/>
          <w:sz w:val="32"/>
          <w:szCs w:val="32"/>
        </w:rPr>
        <w:t>《中华人民共和国审计法》、《政府投资项目审计规定》《关于委托中介审计项目审核费支付的审请》</w:t>
      </w:r>
    </w:p>
    <w:p>
      <w:pPr>
        <w:spacing w:line="560" w:lineRule="exact"/>
        <w:ind w:firstLine="640" w:firstLineChars="200"/>
        <w:rPr>
          <w:rStyle w:val="8"/>
          <w:rFonts w:ascii="仿宋_GB2312" w:eastAsia="仿宋_GB2312"/>
          <w:b w:val="0"/>
          <w:spacing w:val="-4"/>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Style w:val="8"/>
          <w:rFonts w:hint="eastAsia" w:ascii="仿宋_GB2312" w:eastAsia="仿宋_GB2312"/>
          <w:b w:val="0"/>
          <w:spacing w:val="-4"/>
          <w:sz w:val="32"/>
          <w:szCs w:val="32"/>
        </w:rPr>
        <w:t>100万元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哈密市伊州区审计局</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资金按批按委托审核项目的先后时间顺序支付给第三方委托工程审核费。涉及到5个项目、7个委托审核项目单位，总金额共计100万元。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2021年1月1日至2021年12月31日</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八、关于伊州区审计局2021年一般公共预算“三公”经费预算情况说明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哈密市伊州区审计局2021年“三公”经费财政拨款预算数为6.51万元，其中：因公出国（境）费0万元，公务用车购置0万元，公务用车运行费6.51万元，公务接待费0万元。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一般公共预算“三公”经费比上年增加0万元，其中：因公出国（境）费增加0万元，主要原因是未安排预算；公务用车购置费为0万元，主要原因是未安排预算；公务用车运行费增加0万元，主要原因是与上年预算相比无变化；公务接待费增加0万元，主要原因是未安排预算。</w:t>
      </w:r>
    </w:p>
    <w:p>
      <w:pPr>
        <w:spacing w:line="560" w:lineRule="exact"/>
        <w:ind w:firstLine="640" w:firstLineChars="200"/>
        <w:rPr>
          <w:rFonts w:ascii="仿宋" w:hAnsi="仿宋" w:eastAsia="仿宋" w:cs="仿宋_GB2312"/>
          <w:color w:val="000000" w:themeColor="text1"/>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九、关于伊州区审计局2021年政府性基金预算拨款情况说明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哈密市伊州区审计局2021年没有使用政府性基金预算拨款安排的支出，政府性基金预算支出情况表为空表。</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2021年，哈密市伊州区审计局机关运行经费财政拨款预算23.55万元，比上年预算增加2.5万元，增长11.88%。主要人均办公经费增加。</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2021年，哈密市伊州区审计局政府采购预算0万元，其中：政府采购货物预算0万元，政府采购工程预算0万元，政府采购服务预算0万元。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2021年度本部门面向中小企业预留政府采购项目预算金额0万元，其中：面向小微企业预留政府采购项目预算金额0万元。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截至2020年底，哈密市伊州区审计局部门及下属各预算单位占用使用国有资产总体情况为</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1.</w:t>
      </w:r>
      <w:r>
        <w:rPr>
          <w:rFonts w:hint="eastAsia" w:ascii="仿宋_GB2312" w:hAnsi="宋体" w:eastAsia="仿宋_GB2312" w:cs="宋体"/>
          <w:kern w:val="0"/>
          <w:sz w:val="32"/>
          <w:szCs w:val="32"/>
        </w:rPr>
        <w:t>房屋</w:t>
      </w:r>
      <w:r>
        <w:rPr>
          <w:rFonts w:ascii="仿宋_GB2312" w:hAnsi="宋体" w:eastAsia="仿宋_GB2312" w:cs="宋体"/>
          <w:kern w:val="0"/>
          <w:sz w:val="32"/>
          <w:szCs w:val="32"/>
        </w:rPr>
        <w:t>0</w:t>
      </w:r>
      <w:r>
        <w:rPr>
          <w:rFonts w:hint="eastAsia" w:ascii="仿宋_GB2312" w:hAnsi="宋体" w:eastAsia="仿宋_GB2312" w:cs="宋体"/>
          <w:kern w:val="0"/>
          <w:sz w:val="32"/>
          <w:szCs w:val="32"/>
        </w:rPr>
        <w:t>平方米，价值</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2.车辆3辆，价值53.82万元；其中：一般公务用车3辆，价值53.82万元；执法执勤用车0辆，价值0万元；其他车辆0辆，价值0万元。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3.办公家具价值22.67万元。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4.其他资产价值102.13万元。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2021年度，本年度实行绩效管理的一般公共预算项目2个，涉及预算金额106万元。具体情况见下表（按项目分别填报）：</w:t>
      </w:r>
    </w:p>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6"/>
        <w:tblW w:w="9133" w:type="dxa"/>
        <w:tblInd w:w="0" w:type="dxa"/>
        <w:tblLayout w:type="fixed"/>
        <w:tblCellMar>
          <w:top w:w="0" w:type="dxa"/>
          <w:left w:w="0" w:type="dxa"/>
          <w:bottom w:w="0" w:type="dxa"/>
          <w:right w:w="0" w:type="dxa"/>
        </w:tblCellMar>
      </w:tblPr>
      <w:tblGrid>
        <w:gridCol w:w="1484"/>
        <w:gridCol w:w="648"/>
        <w:gridCol w:w="2899"/>
        <w:gridCol w:w="2090"/>
        <w:gridCol w:w="2012"/>
      </w:tblGrid>
      <w:tr>
        <w:tblPrEx>
          <w:tblCellMar>
            <w:top w:w="0" w:type="dxa"/>
            <w:left w:w="0" w:type="dxa"/>
            <w:bottom w:w="0" w:type="dxa"/>
            <w:right w:w="0" w:type="dxa"/>
          </w:tblCellMar>
        </w:tblPrEx>
        <w:trPr>
          <w:trHeight w:val="444" w:hRule="atLeast"/>
        </w:trPr>
        <w:tc>
          <w:tcPr>
            <w:tcW w:w="9133" w:type="dxa"/>
            <w:gridSpan w:val="5"/>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部门预算项目支出绩效目标表</w:t>
            </w:r>
          </w:p>
        </w:tc>
      </w:tr>
      <w:tr>
        <w:tblPrEx>
          <w:tblCellMar>
            <w:top w:w="0" w:type="dxa"/>
            <w:left w:w="0" w:type="dxa"/>
            <w:bottom w:w="0" w:type="dxa"/>
            <w:right w:w="0" w:type="dxa"/>
          </w:tblCellMar>
        </w:tblPrEx>
        <w:trPr>
          <w:trHeight w:val="348" w:hRule="atLeast"/>
        </w:trPr>
        <w:tc>
          <w:tcPr>
            <w:tcW w:w="9133" w:type="dxa"/>
            <w:gridSpan w:val="5"/>
            <w:tcBorders>
              <w:top w:val="nil"/>
              <w:left w:val="nil"/>
              <w:bottom w:val="nil"/>
              <w:right w:val="nil"/>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2021 年）</w:t>
            </w:r>
          </w:p>
        </w:tc>
      </w:tr>
      <w:tr>
        <w:tblPrEx>
          <w:tblCellMar>
            <w:top w:w="0" w:type="dxa"/>
            <w:left w:w="0" w:type="dxa"/>
            <w:bottom w:w="0" w:type="dxa"/>
            <w:right w:w="0" w:type="dxa"/>
          </w:tblCellMar>
        </w:tblPrEx>
        <w:trPr>
          <w:trHeight w:val="480"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项目名称</w:t>
            </w:r>
          </w:p>
        </w:tc>
        <w:tc>
          <w:tcPr>
            <w:tcW w:w="76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《2021委托中介审计审核费》</w:t>
            </w:r>
          </w:p>
        </w:tc>
      </w:tr>
      <w:tr>
        <w:tblPrEx>
          <w:tblCellMar>
            <w:top w:w="0" w:type="dxa"/>
            <w:left w:w="0" w:type="dxa"/>
            <w:bottom w:w="0" w:type="dxa"/>
            <w:right w:w="0" w:type="dxa"/>
          </w:tblCellMar>
        </w:tblPrEx>
        <w:trPr>
          <w:trHeight w:val="480" w:hRule="atLeast"/>
        </w:trPr>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预算单位</w:t>
            </w:r>
          </w:p>
        </w:tc>
        <w:tc>
          <w:tcPr>
            <w:tcW w:w="76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哈密市</w:t>
            </w:r>
            <w:r>
              <w:rPr>
                <w:rFonts w:hint="eastAsia" w:ascii="宋体" w:hAnsi="宋体" w:cs="宋体"/>
                <w:color w:val="000000"/>
                <w:kern w:val="0"/>
                <w:sz w:val="20"/>
                <w:szCs w:val="20"/>
                <w:lang w:bidi="ar"/>
              </w:rPr>
              <w:t>伊州区审计局</w:t>
            </w:r>
          </w:p>
        </w:tc>
      </w:tr>
      <w:tr>
        <w:tblPrEx>
          <w:tblCellMar>
            <w:top w:w="0" w:type="dxa"/>
            <w:left w:w="0" w:type="dxa"/>
            <w:bottom w:w="0" w:type="dxa"/>
            <w:right w:w="0" w:type="dxa"/>
          </w:tblCellMar>
        </w:tblPrEx>
        <w:trPr>
          <w:trHeight w:val="480" w:hRule="atLeast"/>
        </w:trPr>
        <w:tc>
          <w:tcPr>
            <w:tcW w:w="148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项目资金</w:t>
            </w:r>
          </w:p>
        </w:tc>
        <w:tc>
          <w:tcPr>
            <w:tcW w:w="76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年度资金总额：100</w:t>
            </w:r>
            <w:r>
              <w:rPr>
                <w:rFonts w:hint="eastAsia" w:ascii="宋体" w:hAnsi="宋体" w:cs="宋体"/>
                <w:color w:val="000000"/>
                <w:kern w:val="0"/>
                <w:sz w:val="20"/>
                <w:szCs w:val="20"/>
                <w:lang w:val="en-US" w:eastAsia="zh-CN" w:bidi="ar"/>
              </w:rPr>
              <w:t>.00</w:t>
            </w:r>
            <w:r>
              <w:rPr>
                <w:rFonts w:hint="eastAsia" w:ascii="宋体" w:hAnsi="宋体" w:cs="宋体"/>
                <w:color w:val="000000"/>
                <w:kern w:val="0"/>
                <w:sz w:val="20"/>
                <w:szCs w:val="20"/>
                <w:lang w:bidi="ar"/>
              </w:rPr>
              <w:t>万元</w:t>
            </w:r>
          </w:p>
        </w:tc>
      </w:tr>
      <w:tr>
        <w:tblPrEx>
          <w:tblCellMar>
            <w:top w:w="0" w:type="dxa"/>
            <w:left w:w="0" w:type="dxa"/>
            <w:bottom w:w="0" w:type="dxa"/>
            <w:right w:w="0" w:type="dxa"/>
          </w:tblCellMar>
        </w:tblPrEx>
        <w:trPr>
          <w:trHeight w:val="436" w:hRule="atLeast"/>
        </w:trPr>
        <w:tc>
          <w:tcPr>
            <w:tcW w:w="148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6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其中：财政拨款：100</w:t>
            </w:r>
            <w:r>
              <w:rPr>
                <w:rFonts w:hint="eastAsia" w:ascii="宋体" w:hAnsi="宋体" w:cs="宋体"/>
                <w:color w:val="000000"/>
                <w:kern w:val="0"/>
                <w:sz w:val="20"/>
                <w:szCs w:val="20"/>
                <w:lang w:val="en-US" w:eastAsia="zh-CN" w:bidi="ar"/>
              </w:rPr>
              <w:t>.00</w:t>
            </w:r>
            <w:r>
              <w:rPr>
                <w:rFonts w:hint="eastAsia" w:ascii="宋体" w:hAnsi="宋体" w:cs="宋体"/>
                <w:color w:val="000000"/>
                <w:kern w:val="0"/>
                <w:sz w:val="20"/>
                <w:szCs w:val="20"/>
                <w:lang w:bidi="ar"/>
              </w:rPr>
              <w:t>万元</w:t>
            </w:r>
          </w:p>
        </w:tc>
      </w:tr>
      <w:tr>
        <w:tblPrEx>
          <w:tblCellMar>
            <w:top w:w="0" w:type="dxa"/>
            <w:left w:w="0" w:type="dxa"/>
            <w:bottom w:w="0" w:type="dxa"/>
            <w:right w:w="0" w:type="dxa"/>
          </w:tblCellMar>
        </w:tblPrEx>
        <w:trPr>
          <w:trHeight w:val="480" w:hRule="atLeast"/>
        </w:trPr>
        <w:tc>
          <w:tcPr>
            <w:tcW w:w="1484"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6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 xml:space="preserve">            其他资金：</w:t>
            </w: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480" w:hRule="atLeast"/>
        </w:trPr>
        <w:tc>
          <w:tcPr>
            <w:tcW w:w="1484" w:type="dxa"/>
            <w:vMerge w:val="restart"/>
            <w:tcBorders>
              <w:top w:val="single" w:color="auto"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总体目标</w:t>
            </w:r>
          </w:p>
        </w:tc>
        <w:tc>
          <w:tcPr>
            <w:tcW w:w="7649"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年度绩效目标</w:t>
            </w:r>
          </w:p>
        </w:tc>
      </w:tr>
      <w:tr>
        <w:tblPrEx>
          <w:tblCellMar>
            <w:top w:w="0" w:type="dxa"/>
            <w:left w:w="0" w:type="dxa"/>
            <w:bottom w:w="0" w:type="dxa"/>
            <w:right w:w="0" w:type="dxa"/>
          </w:tblCellMar>
        </w:tblPrEx>
        <w:trPr>
          <w:trHeight w:val="800" w:hRule="atLeast"/>
        </w:trPr>
        <w:tc>
          <w:tcPr>
            <w:tcW w:w="1484" w:type="dxa"/>
            <w:vMerge w:val="continue"/>
            <w:tcBorders>
              <w:top w:val="single" w:color="000000"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649"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楷体_GB2312" w:hAnsi="Arial" w:eastAsia="楷体_GB2312" w:cs="楷体_GB2312"/>
                <w:color w:val="000000"/>
                <w:sz w:val="20"/>
                <w:szCs w:val="20"/>
              </w:rPr>
            </w:pPr>
            <w:r>
              <w:rPr>
                <w:rFonts w:ascii="宋体" w:hAnsi="宋体" w:cs="宋体"/>
                <w:color w:val="000000"/>
                <w:kern w:val="0"/>
                <w:sz w:val="20"/>
                <w:szCs w:val="20"/>
                <w:lang w:bidi="ar"/>
              </w:rPr>
              <w:t>保质保量完成区政府审计投资计划及上级审计机关、政府机关临时交待的任务。</w:t>
            </w:r>
          </w:p>
        </w:tc>
      </w:tr>
      <w:tr>
        <w:tblPrEx>
          <w:tblCellMar>
            <w:top w:w="0" w:type="dxa"/>
            <w:left w:w="0" w:type="dxa"/>
            <w:bottom w:w="0" w:type="dxa"/>
            <w:right w:w="0" w:type="dxa"/>
          </w:tblCellMar>
        </w:tblPrEx>
        <w:trPr>
          <w:trHeight w:val="480" w:hRule="atLeast"/>
        </w:trPr>
        <w:tc>
          <w:tcPr>
            <w:tcW w:w="1484" w:type="dxa"/>
            <w:tcBorders>
              <w:top w:val="nil"/>
              <w:left w:val="single" w:color="auto" w:sz="4" w:space="0"/>
              <w:bottom w:val="nil"/>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648"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一级目标</w:t>
            </w:r>
          </w:p>
        </w:tc>
        <w:tc>
          <w:tcPr>
            <w:tcW w:w="28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二级目标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三级目标</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指标值（包含数字及文字描述）</w:t>
            </w:r>
          </w:p>
        </w:tc>
      </w:tr>
      <w:tr>
        <w:tblPrEx>
          <w:tblCellMar>
            <w:top w:w="0" w:type="dxa"/>
            <w:left w:w="0" w:type="dxa"/>
            <w:bottom w:w="0" w:type="dxa"/>
            <w:right w:w="0" w:type="dxa"/>
          </w:tblCellMar>
        </w:tblPrEx>
        <w:trPr>
          <w:trHeight w:val="480" w:hRule="atLeast"/>
        </w:trPr>
        <w:tc>
          <w:tcPr>
            <w:tcW w:w="1484" w:type="dxa"/>
            <w:vMerge w:val="restart"/>
            <w:tcBorders>
              <w:top w:val="single" w:color="000000"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绩效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目标</w:t>
            </w:r>
          </w:p>
        </w:tc>
        <w:tc>
          <w:tcPr>
            <w:tcW w:w="64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审计项目数量指标（个）</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≥7个</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形成工作报告数量指标（份）</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≥7份</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审计人数（人）</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≥14人</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监督检查覆盖率（%）</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问题整改率（%）</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项目开始时间</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2021年1月1日</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项目结束时间</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2021年12月31日</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新疆新华远景工程造价咨询有限公司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≤285800.00元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乌鲁木齐永隆昌盛工程项目管理有限责任公司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≤427800.00元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新建志远诚信建设项目管理有限公司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≤61046.00元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新疆正昊建设工程项目管理有限公司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≤7445.00元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新建鸿联建设工程项目管理咨询有限公司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≤77917.00元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新疆中恒信工程项目管理有限责任公司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≤10156.00元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新疆天健建设工程项目管理有限公司</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≤129836.00元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发现违规资金金额（元）</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≥65000000.00元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挽回经济损失（元）</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≥65000000.00元</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审计问题同质率（%）</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审计建议采纳率 （%）</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r>
      <w:tr>
        <w:tblPrEx>
          <w:tblCellMar>
            <w:top w:w="0" w:type="dxa"/>
            <w:left w:w="0" w:type="dxa"/>
            <w:bottom w:w="0" w:type="dxa"/>
            <w:right w:w="0" w:type="dxa"/>
          </w:tblCellMar>
        </w:tblPrEx>
        <w:trPr>
          <w:trHeight w:val="48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可持续影响指标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项目可持续年限</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≥1年</w:t>
            </w:r>
          </w:p>
        </w:tc>
      </w:tr>
      <w:tr>
        <w:tblPrEx>
          <w:tblCellMar>
            <w:top w:w="0" w:type="dxa"/>
            <w:left w:w="0" w:type="dxa"/>
            <w:bottom w:w="0" w:type="dxa"/>
            <w:right w:w="0" w:type="dxa"/>
          </w:tblCellMar>
        </w:tblPrEx>
        <w:trPr>
          <w:trHeight w:val="720" w:hRule="atLeast"/>
        </w:trPr>
        <w:tc>
          <w:tcPr>
            <w:tcW w:w="148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28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被审计单位满意度</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r>
    </w:tbl>
    <w:p>
      <w:pPr>
        <w:rPr>
          <w:rFonts w:ascii="楷体_GB2312" w:hAnsi="宋体" w:eastAsia="楷体_GB2312" w:cs="宋体"/>
          <w:b/>
          <w:kern w:val="0"/>
          <w:sz w:val="32"/>
          <w:szCs w:val="32"/>
        </w:rPr>
      </w:pPr>
      <w:r>
        <w:rPr>
          <w:rFonts w:hint="eastAsia" w:ascii="楷体_GB2312" w:hAnsi="宋体" w:eastAsia="楷体_GB2312" w:cs="宋体"/>
          <w:b/>
          <w:kern w:val="0"/>
          <w:sz w:val="32"/>
          <w:szCs w:val="32"/>
        </w:rPr>
        <w:br w:type="page"/>
      </w:r>
    </w:p>
    <w:tbl>
      <w:tblPr>
        <w:tblStyle w:val="6"/>
        <w:tblW w:w="8682" w:type="dxa"/>
        <w:tblInd w:w="0" w:type="dxa"/>
        <w:tblLayout w:type="fixed"/>
        <w:tblCellMar>
          <w:top w:w="0" w:type="dxa"/>
          <w:left w:w="0" w:type="dxa"/>
          <w:bottom w:w="0" w:type="dxa"/>
          <w:right w:w="0" w:type="dxa"/>
        </w:tblCellMar>
      </w:tblPr>
      <w:tblGrid>
        <w:gridCol w:w="1400"/>
        <w:gridCol w:w="611"/>
        <w:gridCol w:w="2736"/>
        <w:gridCol w:w="1972"/>
        <w:gridCol w:w="1963"/>
      </w:tblGrid>
      <w:tr>
        <w:tblPrEx>
          <w:tblCellMar>
            <w:top w:w="0" w:type="dxa"/>
            <w:left w:w="0" w:type="dxa"/>
            <w:bottom w:w="0" w:type="dxa"/>
            <w:right w:w="0" w:type="dxa"/>
          </w:tblCellMar>
        </w:tblPrEx>
        <w:trPr>
          <w:trHeight w:val="485" w:hRule="atLeast"/>
        </w:trPr>
        <w:tc>
          <w:tcPr>
            <w:tcW w:w="8682" w:type="dxa"/>
            <w:gridSpan w:val="5"/>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部门预算项目支出绩效目标表</w:t>
            </w:r>
          </w:p>
        </w:tc>
      </w:tr>
      <w:tr>
        <w:tblPrEx>
          <w:tblCellMar>
            <w:top w:w="0" w:type="dxa"/>
            <w:left w:w="0" w:type="dxa"/>
            <w:bottom w:w="0" w:type="dxa"/>
            <w:right w:w="0" w:type="dxa"/>
          </w:tblCellMar>
        </w:tblPrEx>
        <w:trPr>
          <w:trHeight w:val="383" w:hRule="atLeast"/>
        </w:trPr>
        <w:tc>
          <w:tcPr>
            <w:tcW w:w="8682" w:type="dxa"/>
            <w:gridSpan w:val="5"/>
            <w:tcBorders>
              <w:top w:val="nil"/>
              <w:left w:val="nil"/>
              <w:bottom w:val="nil"/>
              <w:right w:val="nil"/>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2021 年）</w:t>
            </w:r>
          </w:p>
        </w:tc>
      </w:tr>
      <w:tr>
        <w:tblPrEx>
          <w:tblCellMar>
            <w:top w:w="0" w:type="dxa"/>
            <w:left w:w="0" w:type="dxa"/>
            <w:bottom w:w="0" w:type="dxa"/>
            <w:right w:w="0" w:type="dxa"/>
          </w:tblCellMar>
        </w:tblPrEx>
        <w:trPr>
          <w:trHeight w:val="598" w:hRule="atLeast"/>
        </w:trPr>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项目名称</w:t>
            </w:r>
          </w:p>
        </w:tc>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《2021年政府投资审计软件升级经费》</w:t>
            </w:r>
          </w:p>
        </w:tc>
      </w:tr>
      <w:tr>
        <w:tblPrEx>
          <w:tblCellMar>
            <w:top w:w="0" w:type="dxa"/>
            <w:left w:w="0" w:type="dxa"/>
            <w:bottom w:w="0" w:type="dxa"/>
            <w:right w:w="0" w:type="dxa"/>
          </w:tblCellMar>
        </w:tblPrEx>
        <w:trPr>
          <w:trHeight w:val="598" w:hRule="atLeast"/>
        </w:trPr>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预算单位</w:t>
            </w:r>
          </w:p>
        </w:tc>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哈密市</w:t>
            </w:r>
            <w:r>
              <w:rPr>
                <w:rFonts w:hint="eastAsia" w:ascii="宋体" w:hAnsi="宋体" w:cs="宋体"/>
                <w:color w:val="000000"/>
                <w:kern w:val="0"/>
                <w:sz w:val="20"/>
                <w:szCs w:val="20"/>
                <w:lang w:bidi="ar"/>
              </w:rPr>
              <w:t>伊州区审计局</w:t>
            </w:r>
          </w:p>
        </w:tc>
      </w:tr>
      <w:tr>
        <w:tblPrEx>
          <w:tblCellMar>
            <w:top w:w="0" w:type="dxa"/>
            <w:left w:w="0" w:type="dxa"/>
            <w:bottom w:w="0" w:type="dxa"/>
            <w:right w:w="0" w:type="dxa"/>
          </w:tblCellMar>
        </w:tblPrEx>
        <w:trPr>
          <w:trHeight w:val="598" w:hRule="atLeast"/>
        </w:trPr>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项目资金</w:t>
            </w:r>
          </w:p>
        </w:tc>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年度资金总额：6</w:t>
            </w:r>
            <w:r>
              <w:rPr>
                <w:rFonts w:hint="eastAsia" w:ascii="宋体" w:hAnsi="宋体" w:cs="宋体"/>
                <w:color w:val="000000"/>
                <w:kern w:val="0"/>
                <w:sz w:val="20"/>
                <w:szCs w:val="20"/>
                <w:lang w:val="en-US" w:eastAsia="zh-CN" w:bidi="ar"/>
              </w:rPr>
              <w:t>.00</w:t>
            </w:r>
            <w:r>
              <w:rPr>
                <w:rFonts w:hint="eastAsia" w:ascii="宋体" w:hAnsi="宋体" w:cs="宋体"/>
                <w:color w:val="000000"/>
                <w:kern w:val="0"/>
                <w:sz w:val="20"/>
                <w:szCs w:val="20"/>
                <w:lang w:bidi="ar"/>
              </w:rPr>
              <w:t>万元</w:t>
            </w:r>
          </w:p>
        </w:tc>
      </w:tr>
      <w:tr>
        <w:tblPrEx>
          <w:tblCellMar>
            <w:top w:w="0" w:type="dxa"/>
            <w:left w:w="0" w:type="dxa"/>
            <w:bottom w:w="0" w:type="dxa"/>
            <w:right w:w="0" w:type="dxa"/>
          </w:tblCellMar>
        </w:tblPrEx>
        <w:trPr>
          <w:trHeight w:val="598" w:hRule="atLeast"/>
        </w:trPr>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其中：财政拨款：6</w:t>
            </w:r>
            <w:r>
              <w:rPr>
                <w:rFonts w:hint="eastAsia" w:ascii="宋体" w:hAnsi="宋体" w:cs="宋体"/>
                <w:color w:val="000000"/>
                <w:kern w:val="0"/>
                <w:sz w:val="20"/>
                <w:szCs w:val="20"/>
                <w:lang w:val="en-US" w:eastAsia="zh-CN" w:bidi="ar"/>
              </w:rPr>
              <w:t>.00</w:t>
            </w:r>
            <w:r>
              <w:rPr>
                <w:rFonts w:hint="eastAsia" w:ascii="宋体" w:hAnsi="宋体" w:cs="宋体"/>
                <w:color w:val="000000"/>
                <w:kern w:val="0"/>
                <w:sz w:val="20"/>
                <w:szCs w:val="20"/>
                <w:lang w:bidi="ar"/>
              </w:rPr>
              <w:t>万元</w:t>
            </w:r>
          </w:p>
        </w:tc>
      </w:tr>
      <w:tr>
        <w:tblPrEx>
          <w:tblCellMar>
            <w:top w:w="0" w:type="dxa"/>
            <w:left w:w="0" w:type="dxa"/>
            <w:bottom w:w="0" w:type="dxa"/>
            <w:right w:w="0" w:type="dxa"/>
          </w:tblCellMar>
        </w:tblPrEx>
        <w:trPr>
          <w:trHeight w:val="598" w:hRule="atLeast"/>
        </w:trPr>
        <w:tc>
          <w:tcPr>
            <w:tcW w:w="1400"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 xml:space="preserve">            其他资金：</w:t>
            </w:r>
            <w:r>
              <w:rPr>
                <w:rFonts w:hint="eastAsia" w:ascii="宋体" w:hAnsi="宋体" w:cs="宋体"/>
                <w:color w:val="000000"/>
                <w:kern w:val="0"/>
                <w:sz w:val="20"/>
                <w:szCs w:val="20"/>
                <w:lang w:val="en-US" w:eastAsia="zh-CN" w:bidi="ar"/>
              </w:rPr>
              <w:t>0.00</w:t>
            </w:r>
          </w:p>
        </w:tc>
      </w:tr>
      <w:tr>
        <w:tblPrEx>
          <w:tblCellMar>
            <w:top w:w="0" w:type="dxa"/>
            <w:left w:w="0" w:type="dxa"/>
            <w:bottom w:w="0" w:type="dxa"/>
            <w:right w:w="0" w:type="dxa"/>
          </w:tblCellMar>
        </w:tblPrEx>
        <w:trPr>
          <w:trHeight w:val="598" w:hRule="atLeast"/>
        </w:trPr>
        <w:tc>
          <w:tcPr>
            <w:tcW w:w="1400" w:type="dxa"/>
            <w:vMerge w:val="restart"/>
            <w:tcBorders>
              <w:top w:val="single" w:color="auto"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总体目标</w:t>
            </w:r>
          </w:p>
        </w:tc>
        <w:tc>
          <w:tcPr>
            <w:tcW w:w="7282"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年度绩效目标</w:t>
            </w:r>
          </w:p>
        </w:tc>
      </w:tr>
      <w:tr>
        <w:tblPrEx>
          <w:tblCellMar>
            <w:top w:w="0" w:type="dxa"/>
            <w:left w:w="0" w:type="dxa"/>
            <w:bottom w:w="0" w:type="dxa"/>
            <w:right w:w="0" w:type="dxa"/>
          </w:tblCellMar>
        </w:tblPrEx>
        <w:trPr>
          <w:trHeight w:val="598" w:hRule="atLeast"/>
        </w:trPr>
        <w:tc>
          <w:tcPr>
            <w:tcW w:w="1400" w:type="dxa"/>
            <w:vMerge w:val="continue"/>
            <w:tcBorders>
              <w:top w:val="single" w:color="000000"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282"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楷体_GB2312" w:hAnsi="Arial" w:eastAsia="楷体_GB2312" w:cs="楷体_GB2312"/>
                <w:color w:val="000000"/>
                <w:sz w:val="20"/>
                <w:szCs w:val="20"/>
              </w:rPr>
            </w:pPr>
            <w:r>
              <w:rPr>
                <w:rFonts w:ascii="宋体" w:hAnsi="宋体" w:cs="宋体"/>
                <w:color w:val="000000"/>
                <w:kern w:val="0"/>
                <w:sz w:val="20"/>
                <w:szCs w:val="20"/>
                <w:lang w:bidi="ar"/>
              </w:rPr>
              <w:t>为了更好的完成政府下达的投资审计计划工作，为政府节约更多的资金。</w:t>
            </w:r>
          </w:p>
        </w:tc>
      </w:tr>
      <w:tr>
        <w:tblPrEx>
          <w:tblCellMar>
            <w:top w:w="0" w:type="dxa"/>
            <w:left w:w="0" w:type="dxa"/>
            <w:bottom w:w="0" w:type="dxa"/>
            <w:right w:w="0" w:type="dxa"/>
          </w:tblCellMar>
        </w:tblPrEx>
        <w:trPr>
          <w:trHeight w:val="687" w:hRule="atLeast"/>
        </w:trPr>
        <w:tc>
          <w:tcPr>
            <w:tcW w:w="1400" w:type="dxa"/>
            <w:tcBorders>
              <w:top w:val="nil"/>
              <w:left w:val="single" w:color="auto" w:sz="4" w:space="0"/>
              <w:bottom w:val="nil"/>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611"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一级目标</w:t>
            </w:r>
          </w:p>
        </w:tc>
        <w:tc>
          <w:tcPr>
            <w:tcW w:w="27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二级目标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三级目标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指标值（包含数字及文字描述）</w:t>
            </w:r>
          </w:p>
        </w:tc>
      </w:tr>
      <w:tr>
        <w:tblPrEx>
          <w:tblCellMar>
            <w:top w:w="0" w:type="dxa"/>
            <w:left w:w="0" w:type="dxa"/>
            <w:bottom w:w="0" w:type="dxa"/>
            <w:right w:w="0" w:type="dxa"/>
          </w:tblCellMar>
        </w:tblPrEx>
        <w:trPr>
          <w:trHeight w:val="687" w:hRule="atLeast"/>
        </w:trPr>
        <w:tc>
          <w:tcPr>
            <w:tcW w:w="1400" w:type="dxa"/>
            <w:vMerge w:val="restart"/>
            <w:tcBorders>
              <w:top w:val="single" w:color="000000"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绩效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目标</w:t>
            </w:r>
          </w:p>
        </w:tc>
        <w:tc>
          <w:tcPr>
            <w:tcW w:w="611"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27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广联达软件使用人数（人）</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≥10个</w:t>
            </w:r>
          </w:p>
        </w:tc>
      </w:tr>
      <w:tr>
        <w:tblPrEx>
          <w:tblCellMar>
            <w:top w:w="0" w:type="dxa"/>
            <w:left w:w="0" w:type="dxa"/>
            <w:bottom w:w="0" w:type="dxa"/>
            <w:right w:w="0" w:type="dxa"/>
          </w:tblCellMar>
        </w:tblPrEx>
        <w:trPr>
          <w:trHeight w:val="687"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广联达软件接口数量（个）</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≥10个</w:t>
            </w:r>
          </w:p>
        </w:tc>
      </w:tr>
      <w:tr>
        <w:tblPrEx>
          <w:tblCellMar>
            <w:top w:w="0" w:type="dxa"/>
            <w:left w:w="0" w:type="dxa"/>
            <w:bottom w:w="0" w:type="dxa"/>
            <w:right w:w="0" w:type="dxa"/>
          </w:tblCellMar>
        </w:tblPrEx>
        <w:trPr>
          <w:trHeight w:val="598"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项目验收合格率</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r>
      <w:tr>
        <w:tblPrEx>
          <w:tblCellMar>
            <w:top w:w="0" w:type="dxa"/>
            <w:left w:w="0" w:type="dxa"/>
            <w:bottom w:w="0" w:type="dxa"/>
            <w:right w:w="0" w:type="dxa"/>
          </w:tblCellMar>
        </w:tblPrEx>
        <w:trPr>
          <w:trHeight w:val="598"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软件开始使用时间</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2021年6月1日</w:t>
            </w:r>
          </w:p>
        </w:tc>
      </w:tr>
      <w:tr>
        <w:tblPrEx>
          <w:tblCellMar>
            <w:top w:w="0" w:type="dxa"/>
            <w:left w:w="0" w:type="dxa"/>
            <w:bottom w:w="0" w:type="dxa"/>
            <w:right w:w="0" w:type="dxa"/>
          </w:tblCellMar>
        </w:tblPrEx>
        <w:trPr>
          <w:trHeight w:val="598"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软件使用结束时间</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2022年6月1日</w:t>
            </w:r>
          </w:p>
        </w:tc>
      </w:tr>
      <w:tr>
        <w:tblPrEx>
          <w:tblCellMar>
            <w:top w:w="0" w:type="dxa"/>
            <w:left w:w="0" w:type="dxa"/>
            <w:bottom w:w="0" w:type="dxa"/>
            <w:right w:w="0" w:type="dxa"/>
          </w:tblCellMar>
        </w:tblPrEx>
        <w:trPr>
          <w:trHeight w:val="687"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广联达软件使用成本控制（元）</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≤60000.00元</w:t>
            </w:r>
          </w:p>
        </w:tc>
      </w:tr>
      <w:tr>
        <w:tblPrEx>
          <w:tblCellMar>
            <w:top w:w="0" w:type="dxa"/>
            <w:left w:w="0" w:type="dxa"/>
            <w:bottom w:w="0" w:type="dxa"/>
            <w:right w:w="0" w:type="dxa"/>
          </w:tblCellMar>
        </w:tblPrEx>
        <w:trPr>
          <w:trHeight w:val="687"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27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保障全年政府投资审计工作正常开展</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有效保障</w:t>
            </w:r>
          </w:p>
        </w:tc>
      </w:tr>
      <w:tr>
        <w:tblPrEx>
          <w:tblCellMar>
            <w:top w:w="0" w:type="dxa"/>
            <w:left w:w="0" w:type="dxa"/>
            <w:bottom w:w="0" w:type="dxa"/>
            <w:right w:w="0" w:type="dxa"/>
          </w:tblCellMar>
        </w:tblPrEx>
        <w:trPr>
          <w:trHeight w:val="687"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可持续影响指标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广联达软件使用对工作的影响</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≥1年</w:t>
            </w:r>
          </w:p>
        </w:tc>
      </w:tr>
      <w:tr>
        <w:tblPrEx>
          <w:tblCellMar>
            <w:top w:w="0" w:type="dxa"/>
            <w:left w:w="0" w:type="dxa"/>
            <w:bottom w:w="0" w:type="dxa"/>
            <w:right w:w="0" w:type="dxa"/>
          </w:tblCellMar>
        </w:tblPrEx>
        <w:trPr>
          <w:trHeight w:val="885" w:hRule="atLeast"/>
        </w:trPr>
        <w:tc>
          <w:tcPr>
            <w:tcW w:w="140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11"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27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服务对象满意度指标</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审计人员对软件使用满意度</w:t>
            </w:r>
          </w:p>
        </w:tc>
        <w:tc>
          <w:tcPr>
            <w:tcW w:w="19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r>
    </w:tbl>
    <w:p>
      <w:pPr>
        <w:rPr>
          <w:rFonts w:ascii="楷体_GB2312" w:hAnsi="宋体" w:eastAsia="楷体_GB2312" w:cs="宋体"/>
          <w:b/>
          <w:kern w:val="0"/>
          <w:sz w:val="32"/>
          <w:szCs w:val="32"/>
        </w:rPr>
      </w:pPr>
      <w:r>
        <w:rPr>
          <w:rFonts w:hint="eastAsia" w:ascii="楷体_GB2312" w:hAnsi="宋体" w:eastAsia="楷体_GB2312" w:cs="宋体"/>
          <w:b/>
          <w:kern w:val="0"/>
          <w:sz w:val="32"/>
          <w:szCs w:val="32"/>
        </w:rPr>
        <w:br w:type="page"/>
      </w:r>
    </w:p>
    <w:p>
      <w:pPr>
        <w:widowControl/>
        <w:spacing w:line="52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widowControl/>
        <w:spacing w:line="520" w:lineRule="exact"/>
        <w:jc w:val="left"/>
        <w:rPr>
          <w:rFonts w:ascii="仿宋_GB2312" w:hAnsi="宋体" w:eastAsia="仿宋_GB2312" w:cs="宋体"/>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四、项目支出：</w:t>
      </w:r>
      <w:r>
        <w:rPr>
          <w:rFonts w:hint="eastAsia" w:ascii="仿宋_GB2312" w:eastAsia="仿宋_GB2312"/>
          <w:sz w:val="32"/>
          <w:szCs w:val="32"/>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sz w:val="32"/>
          <w:szCs w:val="32"/>
        </w:rPr>
        <w:t>五、“三公”经费：</w:t>
      </w:r>
      <w:r>
        <w:rPr>
          <w:rFonts w:hint="eastAsia" w:ascii="仿宋_GB2312" w:eastAsia="仿宋_GB2312"/>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bookmarkStart w:id="0" w:name="_GoBack"/>
      <w:bookmarkEnd w:id="0"/>
    </w:p>
    <w:p>
      <w:pPr>
        <w:spacing w:line="520" w:lineRule="exact"/>
        <w:ind w:firstLine="642"/>
        <w:rPr>
          <w:rFonts w:ascii="仿宋_GB2312" w:eastAsia="仿宋_GB2312"/>
          <w:sz w:val="32"/>
          <w:szCs w:val="32"/>
        </w:rPr>
      </w:pPr>
      <w:r>
        <w:rPr>
          <w:rFonts w:hint="eastAsia" w:ascii="黑体" w:hAnsi="黑体" w:eastAsia="黑体"/>
          <w:sz w:val="32"/>
          <w:szCs w:val="32"/>
        </w:rPr>
        <w:t>六、机关运行经费：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哈密市伊州区审计局部门</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2021</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8</w:t>
      </w:r>
      <w:r>
        <w:rPr>
          <w:rFonts w:ascii="仿宋_GB2312" w:hAnsi="宋体" w:eastAsia="仿宋_GB2312" w:cs="宋体"/>
          <w:kern w:val="0"/>
          <w:sz w:val="32"/>
          <w:szCs w:val="32"/>
        </w:rPr>
        <w:t>日</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iGou" w:date="2024-01-18T12:50:20Z" w:initials="C">
    <w:p w14:paraId="58C67F0C">
      <w:pPr>
        <w:pStyle w:val="2"/>
      </w:pPr>
      <w:r>
        <w:annotationRef/>
      </w:r>
    </w:p>
  </w:comment>
  <w:comment w:id="1" w:author="CaiGou" w:date="2024-01-18T12:50:08Z" w:initials="C">
    <w:p w14:paraId="61E05C96">
      <w:pPr>
        <w:pStyle w:val="2"/>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8C67F0C" w15:done="0"/>
  <w15:commentEx w15:paraId="61E05C9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iGou">
    <w15:presenceInfo w15:providerId="None" w15:userId="CaiG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2953F3"/>
    <w:rsid w:val="00003A49"/>
    <w:rsid w:val="00016BBB"/>
    <w:rsid w:val="00033593"/>
    <w:rsid w:val="00054F80"/>
    <w:rsid w:val="000564BC"/>
    <w:rsid w:val="00090110"/>
    <w:rsid w:val="00096D32"/>
    <w:rsid w:val="000A139F"/>
    <w:rsid w:val="000A2360"/>
    <w:rsid w:val="000A3609"/>
    <w:rsid w:val="000A7317"/>
    <w:rsid w:val="000C3BDF"/>
    <w:rsid w:val="000C5E8B"/>
    <w:rsid w:val="000C77F7"/>
    <w:rsid w:val="000E59A5"/>
    <w:rsid w:val="0014448E"/>
    <w:rsid w:val="0015353D"/>
    <w:rsid w:val="001603B3"/>
    <w:rsid w:val="001759E3"/>
    <w:rsid w:val="00176801"/>
    <w:rsid w:val="001D3B98"/>
    <w:rsid w:val="001E4FD3"/>
    <w:rsid w:val="001E531A"/>
    <w:rsid w:val="00224AE1"/>
    <w:rsid w:val="00227F73"/>
    <w:rsid w:val="00237AA4"/>
    <w:rsid w:val="00251FC8"/>
    <w:rsid w:val="002532B1"/>
    <w:rsid w:val="00254248"/>
    <w:rsid w:val="00262FFF"/>
    <w:rsid w:val="002725BC"/>
    <w:rsid w:val="002926D5"/>
    <w:rsid w:val="002953F3"/>
    <w:rsid w:val="00296BC2"/>
    <w:rsid w:val="002A2FDF"/>
    <w:rsid w:val="002D476D"/>
    <w:rsid w:val="002D6BDD"/>
    <w:rsid w:val="002E3DBD"/>
    <w:rsid w:val="002E7FAD"/>
    <w:rsid w:val="00305C48"/>
    <w:rsid w:val="003229C0"/>
    <w:rsid w:val="003479D7"/>
    <w:rsid w:val="0036024B"/>
    <w:rsid w:val="003B5E4E"/>
    <w:rsid w:val="003C6FA3"/>
    <w:rsid w:val="003E612B"/>
    <w:rsid w:val="003F1C1C"/>
    <w:rsid w:val="003F4F1E"/>
    <w:rsid w:val="00425CB7"/>
    <w:rsid w:val="00470722"/>
    <w:rsid w:val="00472B8E"/>
    <w:rsid w:val="00472E85"/>
    <w:rsid w:val="004735F2"/>
    <w:rsid w:val="004762AA"/>
    <w:rsid w:val="00487299"/>
    <w:rsid w:val="004B7446"/>
    <w:rsid w:val="004F132D"/>
    <w:rsid w:val="004F2CC3"/>
    <w:rsid w:val="004F3168"/>
    <w:rsid w:val="00532D58"/>
    <w:rsid w:val="00545F1B"/>
    <w:rsid w:val="00576AC5"/>
    <w:rsid w:val="00587F2C"/>
    <w:rsid w:val="005A44C3"/>
    <w:rsid w:val="005A4964"/>
    <w:rsid w:val="005B35E4"/>
    <w:rsid w:val="006329E0"/>
    <w:rsid w:val="00657C28"/>
    <w:rsid w:val="006A3F23"/>
    <w:rsid w:val="006A4D58"/>
    <w:rsid w:val="006D6678"/>
    <w:rsid w:val="00713F56"/>
    <w:rsid w:val="00720EBC"/>
    <w:rsid w:val="007237B2"/>
    <w:rsid w:val="00736459"/>
    <w:rsid w:val="0074449C"/>
    <w:rsid w:val="007513C4"/>
    <w:rsid w:val="0075632F"/>
    <w:rsid w:val="007736A5"/>
    <w:rsid w:val="00794BCC"/>
    <w:rsid w:val="007B5FE5"/>
    <w:rsid w:val="007D03DA"/>
    <w:rsid w:val="007D3B98"/>
    <w:rsid w:val="007D73C1"/>
    <w:rsid w:val="007E2FB2"/>
    <w:rsid w:val="0080394F"/>
    <w:rsid w:val="0081640F"/>
    <w:rsid w:val="00822925"/>
    <w:rsid w:val="00822CA1"/>
    <w:rsid w:val="00843E70"/>
    <w:rsid w:val="00855412"/>
    <w:rsid w:val="008632CC"/>
    <w:rsid w:val="008D3981"/>
    <w:rsid w:val="008D6E41"/>
    <w:rsid w:val="008E5505"/>
    <w:rsid w:val="00916DDB"/>
    <w:rsid w:val="009374EB"/>
    <w:rsid w:val="009E64BF"/>
    <w:rsid w:val="00A009CF"/>
    <w:rsid w:val="00A1664D"/>
    <w:rsid w:val="00A213CE"/>
    <w:rsid w:val="00A23BEA"/>
    <w:rsid w:val="00A25CBB"/>
    <w:rsid w:val="00A26721"/>
    <w:rsid w:val="00A33066"/>
    <w:rsid w:val="00A71AF9"/>
    <w:rsid w:val="00A85EAA"/>
    <w:rsid w:val="00A87AB4"/>
    <w:rsid w:val="00AD29D1"/>
    <w:rsid w:val="00AF6CD0"/>
    <w:rsid w:val="00B0060D"/>
    <w:rsid w:val="00B335B0"/>
    <w:rsid w:val="00B43D0B"/>
    <w:rsid w:val="00B5324F"/>
    <w:rsid w:val="00B774AA"/>
    <w:rsid w:val="00B90161"/>
    <w:rsid w:val="00BA0651"/>
    <w:rsid w:val="00BA3279"/>
    <w:rsid w:val="00BC6D06"/>
    <w:rsid w:val="00BE42F4"/>
    <w:rsid w:val="00BF79E9"/>
    <w:rsid w:val="00C0218B"/>
    <w:rsid w:val="00C27EA6"/>
    <w:rsid w:val="00C91F42"/>
    <w:rsid w:val="00CE729F"/>
    <w:rsid w:val="00D0302B"/>
    <w:rsid w:val="00D15679"/>
    <w:rsid w:val="00D15C62"/>
    <w:rsid w:val="00D20581"/>
    <w:rsid w:val="00D36D50"/>
    <w:rsid w:val="00D449C7"/>
    <w:rsid w:val="00D62501"/>
    <w:rsid w:val="00D70852"/>
    <w:rsid w:val="00D73009"/>
    <w:rsid w:val="00DA16BA"/>
    <w:rsid w:val="00DF39B4"/>
    <w:rsid w:val="00E147E2"/>
    <w:rsid w:val="00E41656"/>
    <w:rsid w:val="00E71897"/>
    <w:rsid w:val="00E77CC9"/>
    <w:rsid w:val="00E96E98"/>
    <w:rsid w:val="00EA37C4"/>
    <w:rsid w:val="00EB6790"/>
    <w:rsid w:val="00EC4C81"/>
    <w:rsid w:val="00F0570D"/>
    <w:rsid w:val="00F05FCD"/>
    <w:rsid w:val="00F210CA"/>
    <w:rsid w:val="00F3370C"/>
    <w:rsid w:val="00F80D50"/>
    <w:rsid w:val="00FC0DDB"/>
    <w:rsid w:val="00FC257B"/>
    <w:rsid w:val="00FC3C0E"/>
    <w:rsid w:val="00FF2921"/>
    <w:rsid w:val="054A2D60"/>
    <w:rsid w:val="12154C85"/>
    <w:rsid w:val="150C10F3"/>
    <w:rsid w:val="16B40D14"/>
    <w:rsid w:val="16E13C3A"/>
    <w:rsid w:val="1D1B7BC1"/>
    <w:rsid w:val="20D15788"/>
    <w:rsid w:val="2161006D"/>
    <w:rsid w:val="22105785"/>
    <w:rsid w:val="25946EFA"/>
    <w:rsid w:val="2DCF6562"/>
    <w:rsid w:val="31195051"/>
    <w:rsid w:val="35F53B02"/>
    <w:rsid w:val="36ED35E9"/>
    <w:rsid w:val="38D6269B"/>
    <w:rsid w:val="3E5A2E49"/>
    <w:rsid w:val="3FD10708"/>
    <w:rsid w:val="4570392B"/>
    <w:rsid w:val="4D122410"/>
    <w:rsid w:val="4D55382B"/>
    <w:rsid w:val="4DA51CB7"/>
    <w:rsid w:val="4F4A3440"/>
    <w:rsid w:val="545A4C3B"/>
    <w:rsid w:val="5B367449"/>
    <w:rsid w:val="5D3F13F2"/>
    <w:rsid w:val="6197787D"/>
    <w:rsid w:val="62394695"/>
    <w:rsid w:val="678B7252"/>
    <w:rsid w:val="681A77DA"/>
    <w:rsid w:val="69B35B15"/>
    <w:rsid w:val="72587C77"/>
    <w:rsid w:val="738B2A40"/>
    <w:rsid w:val="772E7E80"/>
    <w:rsid w:val="7928327A"/>
    <w:rsid w:val="79AB3081"/>
    <w:rsid w:val="7AD45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customStyle="1" w:styleId="9">
    <w:name w:val="页眉 字符"/>
    <w:basedOn w:val="7"/>
    <w:link w:val="4"/>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7B5DE2-112E-428D-BD7D-6EFAD2E9D0B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1852</Words>
  <Characters>10560</Characters>
  <Lines>88</Lines>
  <Paragraphs>24</Paragraphs>
  <TotalTime>66</TotalTime>
  <ScaleCrop>false</ScaleCrop>
  <LinksUpToDate>false</LinksUpToDate>
  <CharactersWithSpaces>12388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Administrator.USER-20180508TB</dc:creator>
  <cp:lastModifiedBy>CaiGou</cp:lastModifiedBy>
  <dcterms:modified xsi:type="dcterms:W3CDTF">2024-01-18T05:01:55Z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06030A8504C74D6194350A9C0E11FD03_13</vt:lpwstr>
  </property>
</Properties>
</file>