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宋体" w:hAnsi="宋体" w:cs="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哈密市伊州区发展和改革委员会</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2021年部门预算公开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line="500" w:lineRule="exact"/>
        <w:jc w:val="center"/>
        <w:outlineLvl w:val="1"/>
        <w:rPr>
          <w:rFonts w:ascii="黑体" w:hAnsi="黑体" w:eastAsia="黑体"/>
          <w:kern w:val="0"/>
          <w:sz w:val="36"/>
          <w:szCs w:val="32"/>
        </w:rPr>
      </w:pPr>
      <w:r>
        <w:rPr>
          <w:rFonts w:hint="eastAsia" w:ascii="黑体" w:hAnsi="黑体" w:eastAsia="黑体"/>
          <w:kern w:val="0"/>
          <w:sz w:val="36"/>
          <w:szCs w:val="32"/>
        </w:rPr>
        <w:t>目 录</w:t>
      </w:r>
    </w:p>
    <w:p>
      <w:pPr>
        <w:widowControl/>
        <w:spacing w:line="500" w:lineRule="exact"/>
        <w:ind w:firstLine="883" w:firstLineChars="200"/>
        <w:outlineLvl w:val="1"/>
        <w:rPr>
          <w:rFonts w:ascii="宋体" w:hAnsi="宋体"/>
          <w:b/>
          <w:kern w:val="0"/>
          <w:sz w:val="44"/>
          <w:szCs w:val="44"/>
        </w:rPr>
      </w:pP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哈密市伊州区发展和改革委员会单位概况</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2021年部门预算公开表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七、一般公共预算</w:t>
      </w:r>
      <w:r>
        <w:rPr>
          <w:rFonts w:hint="eastAsia" w:ascii="仿宋_GB2312" w:hAnsi="宋体" w:eastAsia="仿宋_GB2312"/>
          <w:bCs/>
          <w:kern w:val="0"/>
          <w:sz w:val="32"/>
          <w:szCs w:val="32"/>
        </w:rPr>
        <w:t>项目支出情况表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2021年部门预算情况说明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一、关于哈密市伊州区发展和改革委员会2021年收支预算情况的总体说明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二、关于哈密市伊州区发展和改革委员会2021年收入预算情况说明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三、关于哈密市伊州区发展和改革委员会2021年支出预算情况说明</w:t>
      </w:r>
    </w:p>
    <w:p>
      <w:pPr>
        <w:widowControl/>
        <w:spacing w:line="46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w:t>
      </w:r>
      <w:r>
        <w:rPr>
          <w:rFonts w:hint="eastAsia" w:ascii="仿宋_GB2312" w:hAnsi="宋体" w:eastAsia="仿宋_GB2312"/>
          <w:kern w:val="0"/>
          <w:sz w:val="32"/>
          <w:szCs w:val="32"/>
        </w:rPr>
        <w:t>哈密市伊州区发展和改革委员会2021</w:t>
      </w:r>
      <w:r>
        <w:rPr>
          <w:rFonts w:hint="eastAsia" w:ascii="仿宋_GB2312" w:hAnsi="宋体" w:eastAsia="仿宋_GB2312"/>
          <w:bCs/>
          <w:kern w:val="0"/>
          <w:sz w:val="32"/>
          <w:szCs w:val="32"/>
        </w:rPr>
        <w:t>年财政拨款收支预算情况的总体说明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五、关于哈密市伊州区发展和改革委员会2021年一般公共预算当年拨款情况说明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六、关于哈密市伊州区发展和改革委员会2021年一般公共预算基本支出情况说明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七、关于哈密市伊州区发展和改革委员会2021年项目支出情况说明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八、关于哈密市伊州区发展和改革委员会2021年一般公共预算“三公”经费预算情况说明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九、关于哈密市伊州区发展和改革委员会2021年政府性基金预算拨款情况说明</w:t>
      </w:r>
    </w:p>
    <w:p>
      <w:pPr>
        <w:widowControl/>
        <w:spacing w:line="46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6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center"/>
        <w:outlineLvl w:val="1"/>
        <w:rPr>
          <w:rFonts w:ascii="黑体" w:hAnsi="黑体" w:eastAsia="黑体"/>
          <w:kern w:val="0"/>
          <w:sz w:val="32"/>
          <w:szCs w:val="32"/>
        </w:rPr>
      </w:pPr>
      <w:r>
        <w:rPr>
          <w:rFonts w:hint="eastAsia" w:ascii="黑体" w:hAnsi="黑体" w:eastAsia="黑体"/>
          <w:kern w:val="0"/>
          <w:sz w:val="32"/>
          <w:szCs w:val="32"/>
        </w:rPr>
        <w:t>第一部分   哈密市伊州区发展和改革委员会部门概述</w:t>
      </w:r>
    </w:p>
    <w:p>
      <w:pPr>
        <w:widowControl/>
        <w:jc w:val="center"/>
        <w:outlineLvl w:val="1"/>
        <w:rPr>
          <w:rFonts w:ascii="宋体" w:hAnsi="宋体"/>
          <w:b/>
          <w:kern w:val="0"/>
          <w:sz w:val="32"/>
          <w:szCs w:val="32"/>
        </w:rPr>
      </w:pP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1、研究提出区国民经济和社会发展战略、中长期规划，贯彻执行国家、</w:t>
      </w:r>
      <w:r>
        <w:rPr>
          <w:rFonts w:hint="eastAsia" w:ascii="仿宋_GB2312" w:hAnsi="黑体" w:eastAsia="仿宋_GB2312" w:cs="宋体"/>
          <w:bCs/>
          <w:kern w:val="0"/>
          <w:sz w:val="32"/>
          <w:szCs w:val="32"/>
          <w:lang w:val="en-US" w:eastAsia="zh-CN"/>
        </w:rPr>
        <w:t>新疆维吾尔</w:t>
      </w:r>
      <w:r>
        <w:rPr>
          <w:rFonts w:hint="eastAsia" w:ascii="仿宋_GB2312" w:hAnsi="黑体" w:eastAsia="仿宋_GB2312" w:cs="宋体"/>
          <w:bCs/>
          <w:kern w:val="0"/>
          <w:sz w:val="32"/>
          <w:szCs w:val="32"/>
        </w:rPr>
        <w:t>自治区、哈密市国民经济和社会发展方针、政策；统筹协调区经济社会发展，研究分析国内外、区域内外经济形势，提出国民经济发展、价格总水平调控和优化重大经济结构的目标、政策，提出综合运用各种经济手段和政策的建议；组织研究、协调实施重点专项规划，衔接、平衡各主要行业的规划；受区人民政府委托向区人大提交国民经济和社会发展计划的报告。</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2、负责监测宏观经济和社会发展态势，承担预测预警和信息引导的责任；提出促进区经济高质量发展的政策建议；研究涉及经济安全及总体产业安全等重要问题并提出政策措施和建议。</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3、负责分析财经、产业、价格政策等方面的情况和执行效果，提出政策建议；制定和调整政府管理的重要商品价格、服务价格和收费项目、标准；发布重大价格信息，规范市场价格行为等。</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承担经济体制改革的责任，研究区经济体制改革和对外开放的重大问题，牵头组织区综合性经济体制改革方案，协调有关专项经济体制改革方案，指导经济体制改革试点工作；负责区对口援疆有关综合协调工作。</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5、承担规划重大建设项目和生产力布局的职责，研究提出全社会固定资产投资总规模和投资方向，规划重大项目和生产力布局; 衔接平衡需要中央财政、</w:t>
      </w:r>
      <w:r>
        <w:rPr>
          <w:rFonts w:hint="eastAsia" w:ascii="仿宋_GB2312" w:hAnsi="黑体" w:eastAsia="仿宋_GB2312" w:cs="宋体"/>
          <w:bCs/>
          <w:kern w:val="0"/>
          <w:sz w:val="32"/>
          <w:szCs w:val="32"/>
          <w:lang w:val="en-US" w:eastAsia="zh-CN"/>
        </w:rPr>
        <w:t>新疆维吾尔</w:t>
      </w:r>
      <w:r>
        <w:rPr>
          <w:rFonts w:hint="eastAsia" w:ascii="仿宋_GB2312" w:hAnsi="黑体" w:eastAsia="仿宋_GB2312" w:cs="宋体"/>
          <w:bCs/>
          <w:kern w:val="0"/>
          <w:sz w:val="32"/>
          <w:szCs w:val="32"/>
        </w:rPr>
        <w:t>自治区财政和市财政投资以及涉及重大建设项目的专项规划；编制、下达区固定资产投资计划、重点项目建设和前期项目计划，负责项目的管理、组织协调与检查验收; 根据国家产业政策，引导社会投资方向；按照管理权限，负责审核上报、审批、核准、备案固定资产投资项目;组织实施区固定资产投资项目节能评估审查工作;负责区建设项目检查督导工作;会同各主管部门对建设项目的前期论证、项目建议书、可行性研究报告、初步设计审查、上报和建设期间的协调、竣工验收等进行全过程管理。</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6、推进产业结构战略性调整和升级。组织拟订综合性产业政策，负责协调第一、二、三产业发展的重大问题，做好与国民经济和社会发展规划、计划的衔接平衡；提出国民经济重要产业的发展战略和规划，组织审核上报专项规划；研究提出能源产业发展规划；会同有关部门研究高技术产业发展、产业技术进步规划和政策，推动高技术产业化发展；规划、指导服务业的建设与发展。</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7、研究落实利用外资和境外投资的战略、总量平衡和结构优化的目标和政策；监测国外资金利用和境外投资情况以及区外债结构优化状况；按照管理权限，负责审核上报、审批、核准、备案国外贷款项目、外商直接投资项目和境外投资项目；会同有关部门协调和审查利用重大内外资项目;会同有关部门做好招商引资工作;会同有关部门指导、协调、上报各类开发区的规划、布局和设立。</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8、负责区社会发展与国民经济发展的政策衔接，参与区人口和科学技术、教育、文化、卫生、民政等发展政策;协调社会事业发展的重大问题;参与研究提出促进就业、消费、调整收入分配、完善社会保障与经济协调发展的政策。</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9、推进可持续发展战略，负责全社会节能综合协调工作，牵头组织发展循环经济、全社会能源资源节约和综合利用规划及政策措施并协调实施。会同有关部门研究提出生态建设、环境保护规划、资源节约综合利用规划和政策；协调生态建设、环保产业和资源节约综合利用的重大问题，综合协调环保产业和清洁生产促进有关工作。</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10、承担研究区国民经济发展与国家安全的关系，对国防经济重大问题提出建议。会同有关部门研究国民经济动员预案总体规划和年度计划，监督、检查预案、规划、计划的执行情况。组织以军事需求为目的的国民经济实力调查，提出战时动员措施等工作。</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11、认真贯彻执行国家、自治区价格政策措施，提出政策建议;按照《价格法》及《新疆维吾尔自治区定价目录》有关规定，制定和调整经哈密市授权由区管理的重要商品价格、服务价格和收费项目、标准，发布价格信息;负责涉案物品的估价鉴定工作和商品(收费)调定价前期可行性论证以及工农业产品成本调查(监审)工作，对重要工农业产品和服务价格进行监测。</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12、贯彻执行国家、</w:t>
      </w:r>
      <w:r>
        <w:rPr>
          <w:rFonts w:hint="eastAsia" w:ascii="仿宋_GB2312" w:hAnsi="黑体" w:eastAsia="仿宋_GB2312" w:cs="宋体"/>
          <w:bCs/>
          <w:kern w:val="0"/>
          <w:sz w:val="32"/>
          <w:szCs w:val="32"/>
          <w:lang w:val="en-US" w:eastAsia="zh-CN"/>
        </w:rPr>
        <w:t>新疆维吾尔</w:t>
      </w:r>
      <w:r>
        <w:rPr>
          <w:rFonts w:hint="eastAsia" w:ascii="仿宋_GB2312" w:hAnsi="黑体" w:eastAsia="仿宋_GB2312" w:cs="宋体"/>
          <w:bCs/>
          <w:kern w:val="0"/>
          <w:sz w:val="32"/>
          <w:szCs w:val="32"/>
        </w:rPr>
        <w:t>自治区粮食和物资储备的方针政策和法律法规，研究提出地方储备粮油和物资储备规划、储备品种目录的建议；承担中央、</w:t>
      </w:r>
      <w:r>
        <w:rPr>
          <w:rFonts w:hint="eastAsia" w:ascii="仿宋_GB2312" w:hAnsi="黑体" w:eastAsia="仿宋_GB2312" w:cs="宋体"/>
          <w:bCs/>
          <w:kern w:val="0"/>
          <w:sz w:val="32"/>
          <w:szCs w:val="32"/>
          <w:lang w:val="en-US" w:eastAsia="zh-CN"/>
        </w:rPr>
        <w:t>新疆维吾尔</w:t>
      </w:r>
      <w:r>
        <w:rPr>
          <w:rFonts w:hint="eastAsia" w:ascii="仿宋_GB2312" w:hAnsi="黑体" w:eastAsia="仿宋_GB2312" w:cs="宋体"/>
          <w:bCs/>
          <w:kern w:val="0"/>
          <w:sz w:val="32"/>
          <w:szCs w:val="32"/>
        </w:rPr>
        <w:t>自治区级生活类救灾物资储备管理，区救灾物资采购和储备管理工作，落实有关动用计划和指令；负责区地方储备粮油行政管理工作，指导和协调地方储备粮油管理；承担粮食监测预警和应急责任，承担粮食安全区长责任制考核的日常工作；负责粮食流通统计和社会粮油供需平衡调查工作；指导粮食和物资储备承储单位安全生产工作；指导有关储备基础设施和粮食流通设施投资项目；负责对管理的政府储备、企业储备以及储备政策落实情况和粮食流通进行监督检查；负责粮食收购、储存、运输环节质量安全和原粮卫生的监督检查，组织实施粮食库存检查工作；负责粮食流通行政管理、行业指导；承担粮食流通的对外合作与交流；负责全区军粮供应管理。</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13、组织制定区煤炭工业发展规划和各矿区开发与保护规划；提出合理开发利用煤炭资源建议，促进行业结构调整，规划区煤炭工业布局，实行行业管理；负责对煤炭资源勘探资金、煤田灭火资金，煤矿项目国家资金，煤矿安全技术改造国债资金的使用情况进行监督；起草区煤矿安全生产监督管理规范性文件；对行政区域内煤矿实施安全监督管理工作；组织实施行政区域内煤矿安全生产专项整治；监督指导煤矿企业安全基础管理工作；负责石油、天然气长输管道保护工作；研究制定石油、天然气管道保护年度计划，会同有关部门开展石油、天然气管道保护工作；参与大型油库安全监管。</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14、承办区委、区政府交办的其它事项</w:t>
      </w:r>
    </w:p>
    <w:p>
      <w:pPr>
        <w:widowControl/>
        <w:spacing w:line="560" w:lineRule="exact"/>
        <w:ind w:firstLine="640"/>
        <w:jc w:val="left"/>
        <w:rPr>
          <w:rFonts w:ascii="仿宋_GB2312" w:hAnsi="宋体" w:eastAsia="仿宋_GB2312" w:cs="宋体"/>
          <w:bCs/>
          <w:kern w:val="0"/>
          <w:sz w:val="32"/>
          <w:szCs w:val="32"/>
        </w:rPr>
      </w:pPr>
    </w:p>
    <w:p>
      <w:pPr>
        <w:widowControl/>
        <w:spacing w:line="560" w:lineRule="exact"/>
        <w:ind w:firstLine="640" w:firstLineChars="200"/>
        <w:jc w:val="left"/>
        <w:rPr>
          <w:rFonts w:ascii="仿宋_GB2312" w:hAnsi="黑体" w:eastAsia="仿宋_GB2312" w:cs="宋体"/>
          <w:b/>
          <w:bCs/>
          <w:kern w:val="0"/>
          <w:sz w:val="32"/>
          <w:szCs w:val="32"/>
        </w:rPr>
      </w:pPr>
      <w:r>
        <w:rPr>
          <w:rFonts w:hint="eastAsia" w:ascii="黑体" w:hAnsi="黑体" w:eastAsia="黑体" w:cs="宋体"/>
          <w:bCs/>
          <w:kern w:val="0"/>
          <w:sz w:val="32"/>
          <w:szCs w:val="32"/>
        </w:rPr>
        <w:t>二、机构设置及人员情况</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哈密市伊州区发展和改革委员会部门预算无下属预算单位，下设10个科室，分别是：办公室、投资管理室、项目室、产业协调和环资室、经贸和交通运输室、能源室、煤炭管理和煤矿安全监管室、粮食仓储管理和执法室、物资储备和应急调控室、价格管理认证和成本调查室。</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哈密市伊州区发展和改革委员会单位编制数48人。实有人数57人，其中：在职27人，增加0人；退休29人，减少1人；离休1人，减少0人。</w:t>
      </w:r>
    </w:p>
    <w:p>
      <w:pPr>
        <w:rPr>
          <w:rFonts w:ascii="仿宋_GB2312" w:hAnsi="黑体" w:eastAsia="仿宋_GB2312" w:cs="宋体"/>
          <w:bCs/>
          <w:kern w:val="0"/>
          <w:sz w:val="32"/>
          <w:szCs w:val="32"/>
        </w:rPr>
      </w:pPr>
      <w:r>
        <w:rPr>
          <w:rFonts w:hint="eastAsia" w:ascii="仿宋_GB2312" w:hAnsi="黑体" w:eastAsia="仿宋_GB2312" w:cs="宋体"/>
          <w:bCs/>
          <w:kern w:val="0"/>
          <w:sz w:val="32"/>
          <w:szCs w:val="32"/>
        </w:rPr>
        <w:br w:type="page"/>
      </w:r>
    </w:p>
    <w:p>
      <w:pPr>
        <w:widowControl/>
        <w:spacing w:before="120" w:beforeLines="50"/>
        <w:jc w:val="center"/>
        <w:outlineLvl w:val="1"/>
        <w:rPr>
          <w:rFonts w:ascii="黑体" w:hAnsi="黑体" w:eastAsia="黑体"/>
          <w:kern w:val="0"/>
          <w:sz w:val="32"/>
          <w:szCs w:val="32"/>
        </w:rPr>
      </w:pPr>
      <w:r>
        <w:rPr>
          <w:rFonts w:hint="eastAsia" w:ascii="黑体" w:hAnsi="黑体" w:eastAsia="黑体"/>
          <w:kern w:val="0"/>
          <w:sz w:val="32"/>
          <w:szCs w:val="32"/>
        </w:rPr>
        <w:t>第二部分  2021年部门预算公开表</w:t>
      </w:r>
    </w:p>
    <w:p>
      <w:pPr>
        <w:widowControl/>
        <w:spacing w:before="120"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spacing w:before="120" w:beforeLines="50"/>
        <w:ind w:firstLine="2570" w:firstLineChars="800"/>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  部门收支总体情况表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编制部门：哈密市伊州区发展和改革委员会                    单位：万元</w:t>
      </w:r>
    </w:p>
    <w:tbl>
      <w:tblPr>
        <w:tblStyle w:val="5"/>
        <w:tblW w:w="8662" w:type="dxa"/>
        <w:tblInd w:w="93" w:type="dxa"/>
        <w:tblLayout w:type="fixed"/>
        <w:tblCellMar>
          <w:top w:w="0" w:type="dxa"/>
          <w:left w:w="108" w:type="dxa"/>
          <w:bottom w:w="0" w:type="dxa"/>
          <w:right w:w="108" w:type="dxa"/>
        </w:tblCellMar>
      </w:tblPr>
      <w:tblGrid>
        <w:gridCol w:w="2280"/>
        <w:gridCol w:w="1988"/>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443.91</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单位其他资金收入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88"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single" w:color="auto" w:sz="4" w:space="0"/>
              <w:left w:val="single" w:color="auto" w:sz="4" w:space="0"/>
              <w:bottom w:val="single" w:color="auto" w:sz="4" w:space="0"/>
              <w:right w:val="nil"/>
            </w:tcBorders>
            <w:shd w:val="clear" w:color="auto" w:fill="auto"/>
            <w:vAlign w:val="center"/>
          </w:tcPr>
          <w:p>
            <w:pPr>
              <w:widowControl/>
              <w:spacing w:line="300" w:lineRule="exact"/>
              <w:ind w:firstLine="360" w:firstLineChars="200"/>
              <w:jc w:val="left"/>
              <w:rPr>
                <w:rFonts w:ascii="仿宋_GB2312" w:hAnsi="宋体" w:eastAsia="仿宋_GB2312" w:cs="宋体"/>
                <w:kern w:val="0"/>
                <w:sz w:val="18"/>
                <w:szCs w:val="18"/>
              </w:rPr>
            </w:pPr>
          </w:p>
        </w:tc>
        <w:tc>
          <w:tcPr>
            <w:tcW w:w="1988"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234抗疫特别国债还本支出</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ind w:firstLine="360" w:firstLineChars="200"/>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22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0"/>
                <w:szCs w:val="20"/>
              </w:rPr>
            </w:pPr>
          </w:p>
        </w:tc>
        <w:tc>
          <w:tcPr>
            <w:tcW w:w="19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0"/>
                <w:szCs w:val="20"/>
              </w:rPr>
            </w:pP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22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9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26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合  计</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r>
    </w:tbl>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填报部门：哈密市伊州区发展和改革委员会                        单位：万元</w:t>
      </w:r>
    </w:p>
    <w:tbl>
      <w:tblPr>
        <w:tblStyle w:val="5"/>
        <w:tblW w:w="9116" w:type="dxa"/>
        <w:tblInd w:w="0" w:type="dxa"/>
        <w:tblLayout w:type="fixed"/>
        <w:tblCellMar>
          <w:top w:w="0" w:type="dxa"/>
          <w:left w:w="108" w:type="dxa"/>
          <w:bottom w:w="0" w:type="dxa"/>
          <w:right w:w="108" w:type="dxa"/>
        </w:tblCellMar>
      </w:tblPr>
      <w:tblGrid>
        <w:gridCol w:w="624"/>
        <w:gridCol w:w="497"/>
        <w:gridCol w:w="499"/>
        <w:gridCol w:w="1642"/>
        <w:gridCol w:w="767"/>
        <w:gridCol w:w="788"/>
        <w:gridCol w:w="912"/>
        <w:gridCol w:w="788"/>
        <w:gridCol w:w="617"/>
        <w:gridCol w:w="571"/>
        <w:gridCol w:w="707"/>
        <w:gridCol w:w="704"/>
      </w:tblGrid>
      <w:tr>
        <w:tblPrEx>
          <w:tblCellMar>
            <w:top w:w="0" w:type="dxa"/>
            <w:left w:w="108" w:type="dxa"/>
            <w:bottom w:w="0" w:type="dxa"/>
            <w:right w:w="108" w:type="dxa"/>
          </w:tblCellMar>
        </w:tblPrEx>
        <w:trPr>
          <w:trHeight w:val="510" w:hRule="atLeast"/>
        </w:trPr>
        <w:tc>
          <w:tcPr>
            <w:tcW w:w="16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   科目编码</w:t>
            </w:r>
          </w:p>
        </w:tc>
        <w:tc>
          <w:tcPr>
            <w:tcW w:w="1642"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76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78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912"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政府性基金预算拨款</w:t>
            </w:r>
          </w:p>
        </w:tc>
        <w:tc>
          <w:tcPr>
            <w:tcW w:w="78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国有资本经营预算</w:t>
            </w:r>
          </w:p>
        </w:tc>
        <w:tc>
          <w:tcPr>
            <w:tcW w:w="61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财政专户（教育收费）</w:t>
            </w:r>
          </w:p>
        </w:tc>
        <w:tc>
          <w:tcPr>
            <w:tcW w:w="571"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70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704"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单位其他资金收入</w:t>
            </w:r>
          </w:p>
        </w:tc>
      </w:tr>
      <w:tr>
        <w:tblPrEx>
          <w:tblCellMar>
            <w:top w:w="0" w:type="dxa"/>
            <w:left w:w="108" w:type="dxa"/>
            <w:bottom w:w="0" w:type="dxa"/>
            <w:right w:w="108" w:type="dxa"/>
          </w:tblCellMar>
        </w:tblPrEx>
        <w:trPr>
          <w:trHeight w:val="1870"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1642"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6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8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912"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8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1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71"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0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0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201</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一般公共服务支出</w:t>
            </w:r>
          </w:p>
        </w:tc>
        <w:tc>
          <w:tcPr>
            <w:tcW w:w="767" w:type="dxa"/>
            <w:tcBorders>
              <w:top w:val="nil"/>
              <w:left w:val="nil"/>
              <w:bottom w:val="single" w:color="auto" w:sz="4" w:space="0"/>
              <w:right w:val="single" w:color="auto" w:sz="4" w:space="0"/>
            </w:tcBorders>
            <w:shd w:val="clear" w:color="000000" w:fill="FFFFFF"/>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443.91</w:t>
            </w:r>
          </w:p>
        </w:tc>
        <w:tc>
          <w:tcPr>
            <w:tcW w:w="788" w:type="dxa"/>
            <w:tcBorders>
              <w:top w:val="nil"/>
              <w:left w:val="nil"/>
              <w:bottom w:val="single" w:color="auto" w:sz="4" w:space="0"/>
              <w:right w:val="single" w:color="auto" w:sz="4" w:space="0"/>
            </w:tcBorders>
            <w:shd w:val="clear" w:color="000000" w:fill="FFFFFF"/>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443.91</w:t>
            </w:r>
          </w:p>
        </w:tc>
        <w:tc>
          <w:tcPr>
            <w:tcW w:w="91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000000" w:fill="FFFFFF"/>
            <w:vAlign w:val="center"/>
          </w:tcPr>
          <w:p>
            <w:pPr>
              <w:jc w:val="center"/>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201</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04</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ind w:firstLine="200" w:firstLineChars="100"/>
              <w:rPr>
                <w:rFonts w:ascii="仿宋_GB2312" w:hAnsi="宋体" w:eastAsia="仿宋_GB2312" w:cs="宋体"/>
                <w:color w:val="000000"/>
                <w:sz w:val="20"/>
                <w:szCs w:val="20"/>
              </w:rPr>
            </w:pPr>
            <w:r>
              <w:rPr>
                <w:rFonts w:hint="eastAsia" w:ascii="仿宋_GB2312" w:eastAsia="仿宋_GB2312"/>
                <w:color w:val="000000"/>
                <w:sz w:val="20"/>
                <w:szCs w:val="20"/>
              </w:rPr>
              <w:t>发展与改革事务</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443.91</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443.91</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201</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04</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w:t>
            </w: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xml:space="preserve"> 行政运行</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438.91</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438.91</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lang w:eastAsia="zh-CN"/>
              </w:rPr>
              <w:t xml:space="preserve"> </w:t>
            </w:r>
            <w:r>
              <w:rPr>
                <w:rFonts w:hint="eastAsia" w:ascii="仿宋_GB2312" w:hAnsi="宋体" w:eastAsia="仿宋_GB2312" w:cs="宋体"/>
                <w:color w:val="000000"/>
                <w:sz w:val="20"/>
                <w:szCs w:val="20"/>
              </w:rPr>
              <w:t>201</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04</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99</w:t>
            </w: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其他发展与改革事务支出</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社会保障和就业支出</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行政事业单位养老支出</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w:t>
            </w: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机关事业单位基本养老保险缴费支出</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221</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住房保障支出</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221</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 xml:space="preserve"> 住房改革支出</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221</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w:t>
            </w: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住房公积金</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222</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粮油物资储备支出</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222</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04</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粮油储备</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222</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04</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99</w:t>
            </w: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其他粮油储备支出</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224</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灾害防止及应急管理支出</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224</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04</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煤矿安全</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224</w:t>
            </w: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04</w:t>
            </w: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99</w:t>
            </w:r>
          </w:p>
        </w:tc>
        <w:tc>
          <w:tcPr>
            <w:tcW w:w="1642"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其他煤矿安全支出</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624"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9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9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42"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合计</w:t>
            </w:r>
          </w:p>
        </w:tc>
        <w:tc>
          <w:tcPr>
            <w:tcW w:w="76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7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91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8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57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04"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p>
        </w:tc>
      </w:tr>
    </w:tbl>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表三：</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编制部门：哈密市伊州区发展和改革委员会                        单位：万元</w:t>
      </w:r>
    </w:p>
    <w:tbl>
      <w:tblPr>
        <w:tblStyle w:val="5"/>
        <w:tblW w:w="9420" w:type="dxa"/>
        <w:tblInd w:w="-240" w:type="dxa"/>
        <w:tblLayout w:type="fixed"/>
        <w:tblCellMar>
          <w:top w:w="0" w:type="dxa"/>
          <w:left w:w="108" w:type="dxa"/>
          <w:bottom w:w="0" w:type="dxa"/>
          <w:right w:w="108" w:type="dxa"/>
        </w:tblCellMar>
      </w:tblPr>
      <w:tblGrid>
        <w:gridCol w:w="519"/>
        <w:gridCol w:w="417"/>
        <w:gridCol w:w="418"/>
        <w:gridCol w:w="2451"/>
        <w:gridCol w:w="1855"/>
        <w:gridCol w:w="1856"/>
        <w:gridCol w:w="1904"/>
      </w:tblGrid>
      <w:tr>
        <w:tblPrEx>
          <w:tblCellMar>
            <w:top w:w="0" w:type="dxa"/>
            <w:left w:w="108" w:type="dxa"/>
            <w:bottom w:w="0" w:type="dxa"/>
            <w:right w:w="108" w:type="dxa"/>
          </w:tblCellMar>
        </w:tblPrEx>
        <w:trPr>
          <w:trHeight w:val="345" w:hRule="atLeast"/>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5615"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CellMar>
            <w:top w:w="0" w:type="dxa"/>
            <w:left w:w="108" w:type="dxa"/>
            <w:bottom w:w="0" w:type="dxa"/>
            <w:right w:w="108" w:type="dxa"/>
          </w:tblCellMar>
        </w:tblPrEx>
        <w:trPr>
          <w:trHeight w:val="480" w:hRule="atLeast"/>
        </w:trPr>
        <w:tc>
          <w:tcPr>
            <w:tcW w:w="135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45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9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CellMar>
            <w:top w:w="0" w:type="dxa"/>
            <w:left w:w="108" w:type="dxa"/>
            <w:bottom w:w="0" w:type="dxa"/>
            <w:right w:w="108" w:type="dxa"/>
          </w:tblCellMar>
        </w:tblPrEx>
        <w:trPr>
          <w:trHeight w:val="270"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45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90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201</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eastAsia="仿宋_GB2312"/>
                <w:color w:val="000000"/>
                <w:sz w:val="20"/>
                <w:szCs w:val="20"/>
              </w:rPr>
              <w:t>一般公共服务支出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w:t>
            </w:r>
            <w:r>
              <w:rPr>
                <w:rFonts w:ascii="仿宋_GB2312" w:hAnsi="宋体" w:eastAsia="仿宋_GB2312" w:cs="宋体"/>
                <w:kern w:val="0"/>
                <w:sz w:val="18"/>
                <w:szCs w:val="18"/>
              </w:rPr>
              <w:t>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438.9</w:t>
            </w:r>
            <w:r>
              <w:rPr>
                <w:rFonts w:ascii="仿宋_GB2312" w:hAnsi="宋体" w:eastAsia="仿宋_GB2312" w:cs="宋体"/>
                <w:kern w:val="0"/>
                <w:sz w:val="18"/>
                <w:szCs w:val="18"/>
              </w:rPr>
              <w:t>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201</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04</w:t>
            </w: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ind w:firstLine="200" w:firstLineChars="100"/>
              <w:rPr>
                <w:rFonts w:ascii="宋体" w:hAnsi="宋体" w:cs="宋体"/>
                <w:b/>
                <w:bCs/>
                <w:color w:val="000000"/>
                <w:kern w:val="0"/>
                <w:sz w:val="22"/>
                <w:szCs w:val="22"/>
              </w:rPr>
            </w:pPr>
            <w:r>
              <w:rPr>
                <w:rFonts w:hint="eastAsia" w:ascii="仿宋_GB2312" w:eastAsia="仿宋_GB2312"/>
                <w:color w:val="000000"/>
                <w:sz w:val="20"/>
                <w:szCs w:val="20"/>
              </w:rPr>
              <w:t>发展与改革事务</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w:t>
            </w:r>
            <w:r>
              <w:rPr>
                <w:rFonts w:ascii="仿宋_GB2312" w:hAnsi="宋体" w:eastAsia="仿宋_GB2312" w:cs="宋体"/>
                <w:kern w:val="0"/>
                <w:sz w:val="18"/>
                <w:szCs w:val="18"/>
              </w:rPr>
              <w:t>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438.9</w:t>
            </w:r>
            <w:r>
              <w:rPr>
                <w:rFonts w:ascii="仿宋_GB2312" w:hAnsi="宋体" w:eastAsia="仿宋_GB2312" w:cs="宋体"/>
                <w:kern w:val="0"/>
                <w:sz w:val="18"/>
                <w:szCs w:val="18"/>
              </w:rPr>
              <w:t>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201</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04</w:t>
            </w: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01</w:t>
            </w: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eastAsia="仿宋_GB2312"/>
                <w:color w:val="000000"/>
                <w:sz w:val="20"/>
                <w:szCs w:val="20"/>
              </w:rPr>
              <w:t>行政运行</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w:t>
            </w:r>
            <w:r>
              <w:rPr>
                <w:rFonts w:ascii="仿宋_GB2312" w:hAnsi="宋体" w:eastAsia="仿宋_GB2312" w:cs="宋体"/>
                <w:kern w:val="0"/>
                <w:sz w:val="18"/>
                <w:szCs w:val="18"/>
              </w:rPr>
              <w:t>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438.9</w:t>
            </w:r>
            <w:r>
              <w:rPr>
                <w:rFonts w:ascii="仿宋_GB2312" w:hAnsi="宋体" w:eastAsia="仿宋_GB2312" w:cs="宋体"/>
                <w:kern w:val="0"/>
                <w:sz w:val="18"/>
                <w:szCs w:val="18"/>
              </w:rPr>
              <w:t>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r>
              <w:rPr>
                <w:rFonts w:hint="eastAsia" w:ascii="仿宋_GB2312" w:eastAsia="仿宋_GB2312"/>
                <w:color w:val="000000"/>
                <w:sz w:val="20"/>
                <w:szCs w:val="20"/>
              </w:rPr>
              <w:t>201</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r>
              <w:rPr>
                <w:rFonts w:hint="eastAsia" w:ascii="仿宋_GB2312" w:eastAsia="仿宋_GB2312"/>
                <w:color w:val="000000"/>
                <w:sz w:val="20"/>
                <w:szCs w:val="20"/>
              </w:rPr>
              <w:t>04</w:t>
            </w:r>
          </w:p>
        </w:tc>
        <w:tc>
          <w:tcPr>
            <w:tcW w:w="418"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r>
              <w:rPr>
                <w:rFonts w:hint="eastAsia" w:ascii="仿宋_GB2312" w:eastAsia="仿宋_GB2312"/>
                <w:color w:val="000000"/>
                <w:sz w:val="20"/>
                <w:szCs w:val="20"/>
              </w:rPr>
              <w:t>99</w:t>
            </w:r>
          </w:p>
        </w:tc>
        <w:tc>
          <w:tcPr>
            <w:tcW w:w="2451" w:type="dxa"/>
            <w:tcBorders>
              <w:top w:val="nil"/>
              <w:left w:val="nil"/>
              <w:bottom w:val="single" w:color="auto" w:sz="4" w:space="0"/>
              <w:right w:val="single" w:color="auto" w:sz="4" w:space="0"/>
            </w:tcBorders>
            <w:shd w:val="clear" w:color="auto" w:fill="auto"/>
            <w:vAlign w:val="center"/>
          </w:tcPr>
          <w:p>
            <w:pPr>
              <w:jc w:val="right"/>
              <w:rPr>
                <w:rFonts w:ascii="仿宋_GB2312" w:eastAsia="仿宋_GB2312"/>
                <w:color w:val="000000"/>
                <w:sz w:val="20"/>
                <w:szCs w:val="20"/>
              </w:rPr>
            </w:pPr>
            <w:r>
              <w:rPr>
                <w:rFonts w:hint="eastAsia" w:ascii="仿宋_GB2312" w:eastAsia="仿宋_GB2312"/>
                <w:color w:val="000000"/>
                <w:sz w:val="20"/>
                <w:szCs w:val="20"/>
              </w:rPr>
              <w:t>其他发展与改革事务支出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208</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eastAsia="仿宋_GB2312"/>
                <w:color w:val="000000"/>
                <w:sz w:val="20"/>
                <w:szCs w:val="20"/>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208</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05</w:t>
            </w: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hAnsi="宋体" w:eastAsia="仿宋_GB2312" w:cs="宋体"/>
                <w:color w:val="000000"/>
                <w:sz w:val="20"/>
                <w:szCs w:val="20"/>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208</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05</w:t>
            </w: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05</w:t>
            </w: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hAnsi="宋体" w:eastAsia="仿宋_GB2312" w:cs="宋体"/>
                <w:color w:val="000000"/>
                <w:sz w:val="20"/>
                <w:szCs w:val="20"/>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221</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hAnsi="宋体" w:eastAsia="仿宋_GB2312" w:cs="宋体"/>
                <w:color w:val="000000"/>
                <w:sz w:val="20"/>
                <w:szCs w:val="20"/>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221</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02</w:t>
            </w: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hAnsi="宋体" w:eastAsia="仿宋_GB2312" w:cs="宋体"/>
                <w:color w:val="000000"/>
                <w:sz w:val="20"/>
                <w:szCs w:val="20"/>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221</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02</w:t>
            </w: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01</w:t>
            </w: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eastAsia="仿宋_GB2312"/>
                <w:color w:val="000000"/>
                <w:sz w:val="20"/>
                <w:szCs w:val="20"/>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222</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eastAsia="仿宋_GB2312"/>
                <w:color w:val="000000"/>
                <w:sz w:val="20"/>
                <w:szCs w:val="20"/>
              </w:rPr>
              <w:t>粮油物资储备支出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222</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04</w:t>
            </w: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eastAsia="仿宋_GB2312"/>
                <w:color w:val="000000"/>
                <w:sz w:val="20"/>
                <w:szCs w:val="20"/>
              </w:rPr>
              <w:t>粮油储备</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222</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04</w:t>
            </w: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99</w:t>
            </w: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eastAsia="仿宋_GB2312"/>
                <w:color w:val="000000"/>
                <w:sz w:val="20"/>
                <w:szCs w:val="20"/>
              </w:rPr>
              <w:t>其他粮油储备支出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224</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eastAsia="仿宋_GB2312"/>
                <w:color w:val="000000"/>
                <w:sz w:val="20"/>
                <w:szCs w:val="20"/>
              </w:rPr>
              <w:t>灾害防止及应急管理支出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224</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04</w:t>
            </w: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eastAsia="仿宋_GB2312"/>
                <w:color w:val="000000"/>
                <w:sz w:val="20"/>
                <w:szCs w:val="20"/>
              </w:rPr>
              <w:t>煤矿安全</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224</w:t>
            </w:r>
          </w:p>
        </w:tc>
        <w:tc>
          <w:tcPr>
            <w:tcW w:w="417"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04</w:t>
            </w:r>
          </w:p>
        </w:tc>
        <w:tc>
          <w:tcPr>
            <w:tcW w:w="418" w:type="dxa"/>
            <w:tcBorders>
              <w:top w:val="nil"/>
              <w:left w:val="nil"/>
              <w:bottom w:val="single" w:color="auto" w:sz="4" w:space="0"/>
              <w:right w:val="single" w:color="auto" w:sz="4" w:space="0"/>
            </w:tcBorders>
            <w:shd w:val="clear" w:color="auto" w:fill="auto"/>
            <w:vAlign w:val="center"/>
          </w:tcPr>
          <w:p>
            <w:pPr>
              <w:jc w:val="right"/>
              <w:rPr>
                <w:rFonts w:ascii="宋体" w:hAnsi="宋体" w:cs="宋体"/>
                <w:b/>
                <w:bCs/>
                <w:color w:val="000000"/>
                <w:kern w:val="0"/>
                <w:sz w:val="16"/>
                <w:szCs w:val="16"/>
              </w:rPr>
            </w:pPr>
            <w:r>
              <w:rPr>
                <w:rFonts w:hint="eastAsia" w:ascii="仿宋_GB2312" w:eastAsia="仿宋_GB2312"/>
                <w:color w:val="000000"/>
                <w:sz w:val="20"/>
                <w:szCs w:val="20"/>
              </w:rPr>
              <w:t>99</w:t>
            </w:r>
          </w:p>
        </w:tc>
        <w:tc>
          <w:tcPr>
            <w:tcW w:w="2451" w:type="dxa"/>
            <w:tcBorders>
              <w:top w:val="nil"/>
              <w:left w:val="nil"/>
              <w:bottom w:val="single" w:color="auto" w:sz="4" w:space="0"/>
              <w:right w:val="single" w:color="auto" w:sz="4" w:space="0"/>
            </w:tcBorders>
            <w:shd w:val="clear" w:color="auto" w:fill="auto"/>
            <w:vAlign w:val="center"/>
          </w:tcPr>
          <w:p>
            <w:pPr>
              <w:rPr>
                <w:rFonts w:ascii="宋体" w:hAnsi="宋体" w:cs="宋体"/>
                <w:b/>
                <w:bCs/>
                <w:color w:val="000000"/>
                <w:kern w:val="0"/>
                <w:sz w:val="22"/>
                <w:szCs w:val="22"/>
              </w:rPr>
            </w:pPr>
            <w:r>
              <w:rPr>
                <w:rFonts w:hint="eastAsia" w:ascii="仿宋_GB2312" w:eastAsia="仿宋_GB2312"/>
                <w:color w:val="000000"/>
                <w:sz w:val="20"/>
                <w:szCs w:val="20"/>
              </w:rPr>
              <w:t>其他煤矿安全支出</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6"/>
                <w:szCs w:val="16"/>
              </w:rPr>
            </w:pPr>
          </w:p>
        </w:tc>
        <w:tc>
          <w:tcPr>
            <w:tcW w:w="24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p>
        </w:tc>
        <w:tc>
          <w:tcPr>
            <w:tcW w:w="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24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85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185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504.93</w:t>
            </w:r>
          </w:p>
        </w:tc>
        <w:tc>
          <w:tcPr>
            <w:tcW w:w="1904"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w:t>
            </w:r>
          </w:p>
        </w:tc>
      </w:tr>
    </w:tbl>
    <w:p>
      <w:pPr>
        <w:widowControl/>
        <w:spacing w:before="120" w:beforeLines="50"/>
        <w:outlineLvl w:val="1"/>
        <w:rPr>
          <w:rFonts w:ascii="仿宋_GB2312" w:hAnsi="宋体" w:eastAsia="仿宋_GB2312"/>
          <w:b/>
          <w:kern w:val="0"/>
          <w:sz w:val="32"/>
          <w:szCs w:val="32"/>
        </w:rPr>
      </w:pPr>
    </w:p>
    <w:p>
      <w:pPr>
        <w:widowControl/>
        <w:spacing w:before="120"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表四：</w:t>
      </w:r>
    </w:p>
    <w:p>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outlineLvl w:val="1"/>
        <w:rPr>
          <w:rFonts w:ascii="仿宋_GB2312" w:hAnsi="宋体" w:eastAsia="仿宋_GB2312"/>
          <w:kern w:val="0"/>
          <w:sz w:val="28"/>
          <w:szCs w:val="28"/>
        </w:rPr>
      </w:pPr>
      <w:r>
        <w:rPr>
          <w:rFonts w:hint="eastAsia" w:ascii="仿宋_GB2312" w:hAnsi="宋体" w:eastAsia="仿宋_GB2312"/>
          <w:kern w:val="0"/>
          <w:sz w:val="28"/>
          <w:szCs w:val="28"/>
        </w:rPr>
        <w:t>编制部门：</w:t>
      </w:r>
      <w:r>
        <w:rPr>
          <w:rFonts w:hint="eastAsia" w:ascii="仿宋_GB2312" w:hAnsi="宋体" w:eastAsia="仿宋_GB2312"/>
          <w:kern w:val="0"/>
          <w:sz w:val="24"/>
        </w:rPr>
        <w:t>哈密市伊州区发展和改革委员会</w:t>
      </w:r>
      <w:r>
        <w:rPr>
          <w:rFonts w:hint="eastAsia" w:ascii="仿宋_GB2312" w:hAnsi="宋体" w:eastAsia="仿宋_GB2312"/>
          <w:kern w:val="0"/>
          <w:sz w:val="28"/>
          <w:szCs w:val="28"/>
        </w:rPr>
        <w:t xml:space="preserve">                 单位：万元</w:t>
      </w:r>
    </w:p>
    <w:tbl>
      <w:tblPr>
        <w:tblStyle w:val="5"/>
        <w:tblW w:w="9158" w:type="dxa"/>
        <w:tblInd w:w="0" w:type="dxa"/>
        <w:tblLayout w:type="fixed"/>
        <w:tblCellMar>
          <w:top w:w="0" w:type="dxa"/>
          <w:left w:w="108" w:type="dxa"/>
          <w:bottom w:w="0" w:type="dxa"/>
          <w:right w:w="108" w:type="dxa"/>
        </w:tblCellMar>
      </w:tblPr>
      <w:tblGrid>
        <w:gridCol w:w="1968"/>
        <w:gridCol w:w="1069"/>
        <w:gridCol w:w="2629"/>
        <w:gridCol w:w="835"/>
        <w:gridCol w:w="868"/>
        <w:gridCol w:w="901"/>
        <w:gridCol w:w="888"/>
      </w:tblGrid>
      <w:tr>
        <w:tblPrEx>
          <w:tblCellMar>
            <w:top w:w="0" w:type="dxa"/>
            <w:left w:w="108" w:type="dxa"/>
            <w:bottom w:w="0" w:type="dxa"/>
            <w:right w:w="108" w:type="dxa"/>
          </w:tblCellMar>
        </w:tblPrEx>
        <w:trPr>
          <w:trHeight w:val="408" w:hRule="atLeast"/>
        </w:trPr>
        <w:tc>
          <w:tcPr>
            <w:tcW w:w="3037" w:type="dxa"/>
            <w:gridSpan w:val="2"/>
            <w:tcBorders>
              <w:top w:val="single" w:color="auto" w:sz="4" w:space="0"/>
              <w:left w:val="single" w:color="auto" w:sz="4" w:space="0"/>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21" w:type="dxa"/>
            <w:gridSpan w:val="5"/>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1179" w:hRule="atLeast"/>
        </w:trPr>
        <w:tc>
          <w:tcPr>
            <w:tcW w:w="196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6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62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83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86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9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CellMar>
            <w:top w:w="0" w:type="dxa"/>
            <w:left w:w="108" w:type="dxa"/>
            <w:bottom w:w="0" w:type="dxa"/>
            <w:right w:w="108" w:type="dxa"/>
          </w:tblCellMar>
        </w:tblPrEx>
        <w:trPr>
          <w:trHeight w:val="347"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069"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443.91</w:t>
            </w: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443.91</w:t>
            </w: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一般公共预算</w:t>
            </w:r>
          </w:p>
        </w:tc>
        <w:tc>
          <w:tcPr>
            <w:tcW w:w="1069"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政府性基金预算</w:t>
            </w:r>
          </w:p>
        </w:tc>
        <w:tc>
          <w:tcPr>
            <w:tcW w:w="1069" w:type="dxa"/>
            <w:tcBorders>
              <w:top w:val="nil"/>
              <w:left w:val="nil"/>
              <w:bottom w:val="single" w:color="auto" w:sz="4" w:space="0"/>
              <w:right w:val="single" w:color="auto" w:sz="4" w:space="0"/>
            </w:tcBorders>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国有资本经营预算</w:t>
            </w: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211 节能环保支出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抗疫特别国债还本支出</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265"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9" w:type="dxa"/>
            <w:tcBorders>
              <w:top w:val="nil"/>
              <w:left w:val="nil"/>
              <w:bottom w:val="single" w:color="auto" w:sz="4" w:space="0"/>
              <w:right w:val="single" w:color="auto" w:sz="4" w:space="0"/>
            </w:tcBorders>
            <w:noWrap/>
            <w:vAlign w:val="bottom"/>
          </w:tcPr>
          <w:p>
            <w:pPr>
              <w:widowControl/>
              <w:spacing w:line="300" w:lineRule="exact"/>
              <w:jc w:val="right"/>
              <w:rPr>
                <w:rFonts w:ascii="仿宋_GB2312" w:hAnsi="宋体" w:eastAsia="仿宋_GB2312" w:cs="宋体"/>
                <w:kern w:val="0"/>
                <w:sz w:val="18"/>
                <w:szCs w:val="18"/>
              </w:rPr>
            </w:pP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00" w:hRule="exact"/>
        </w:trPr>
        <w:tc>
          <w:tcPr>
            <w:tcW w:w="1968"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069"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2629"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835"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86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90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8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bl>
    <w:p>
      <w:pPr>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表五：</w:t>
      </w:r>
    </w:p>
    <w:tbl>
      <w:tblPr>
        <w:tblStyle w:val="5"/>
        <w:tblW w:w="9120" w:type="dxa"/>
        <w:tblInd w:w="-34" w:type="dxa"/>
        <w:tblLayout w:type="fixed"/>
        <w:tblCellMar>
          <w:top w:w="0" w:type="dxa"/>
          <w:left w:w="108" w:type="dxa"/>
          <w:bottom w:w="0" w:type="dxa"/>
          <w:right w:w="108" w:type="dxa"/>
        </w:tblCellMar>
      </w:tblPr>
      <w:tblGrid>
        <w:gridCol w:w="562"/>
        <w:gridCol w:w="486"/>
        <w:gridCol w:w="577"/>
        <w:gridCol w:w="2668"/>
        <w:gridCol w:w="564"/>
        <w:gridCol w:w="976"/>
        <w:gridCol w:w="207"/>
        <w:gridCol w:w="1395"/>
        <w:gridCol w:w="1685"/>
      </w:tblGrid>
      <w:tr>
        <w:tblPrEx>
          <w:tblCellMar>
            <w:top w:w="0" w:type="dxa"/>
            <w:left w:w="108" w:type="dxa"/>
            <w:bottom w:w="0" w:type="dxa"/>
            <w:right w:w="108" w:type="dxa"/>
          </w:tblCellMar>
        </w:tblPrEx>
        <w:trPr>
          <w:trHeight w:val="507" w:hRule="atLeast"/>
        </w:trPr>
        <w:tc>
          <w:tcPr>
            <w:tcW w:w="9120" w:type="dxa"/>
            <w:gridSpan w:val="9"/>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blPrEx>
          <w:tblCellMar>
            <w:top w:w="0" w:type="dxa"/>
            <w:left w:w="108" w:type="dxa"/>
            <w:bottom w:w="0" w:type="dxa"/>
            <w:right w:w="108" w:type="dxa"/>
          </w:tblCellMar>
        </w:tblPrEx>
        <w:trPr>
          <w:trHeight w:val="350" w:hRule="atLeast"/>
        </w:trPr>
        <w:tc>
          <w:tcPr>
            <w:tcW w:w="4857" w:type="dxa"/>
            <w:gridSpan w:val="5"/>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编制部门：哈密市伊州区发展和改革委员会</w:t>
            </w:r>
          </w:p>
        </w:tc>
        <w:tc>
          <w:tcPr>
            <w:tcW w:w="1183"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3080" w:type="dxa"/>
            <w:gridSpan w:val="2"/>
            <w:tcBorders>
              <w:top w:val="nil"/>
              <w:left w:val="nil"/>
              <w:bottom w:val="nil"/>
              <w:right w:val="nil"/>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468" w:hRule="atLeast"/>
        </w:trPr>
        <w:tc>
          <w:tcPr>
            <w:tcW w:w="4293"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项目</w:t>
            </w:r>
          </w:p>
        </w:tc>
        <w:tc>
          <w:tcPr>
            <w:tcW w:w="4827"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一般公共预算支出</w:t>
            </w:r>
          </w:p>
        </w:tc>
      </w:tr>
      <w:tr>
        <w:tblPrEx>
          <w:tblCellMar>
            <w:top w:w="0" w:type="dxa"/>
            <w:left w:w="108" w:type="dxa"/>
            <w:bottom w:w="0" w:type="dxa"/>
            <w:right w:w="108" w:type="dxa"/>
          </w:tblCellMar>
        </w:tblPrEx>
        <w:trPr>
          <w:trHeight w:val="595" w:hRule="atLeast"/>
        </w:trPr>
        <w:tc>
          <w:tcPr>
            <w:tcW w:w="16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66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540"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602"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8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4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8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668"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54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0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kern w:val="0"/>
                <w:sz w:val="20"/>
                <w:szCs w:val="20"/>
              </w:rPr>
            </w:pPr>
            <w:r>
              <w:rPr>
                <w:rFonts w:hint="eastAsia" w:ascii="仿宋_GB2312" w:eastAsia="仿宋_GB2312"/>
                <w:color w:val="000000"/>
                <w:sz w:val="20"/>
                <w:szCs w:val="20"/>
              </w:rPr>
              <w:t>201</w:t>
            </w:r>
          </w:p>
        </w:tc>
        <w:tc>
          <w:tcPr>
            <w:tcW w:w="48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b/>
                <w:color w:val="000000"/>
                <w:kern w:val="0"/>
                <w:sz w:val="20"/>
                <w:szCs w:val="20"/>
              </w:rPr>
            </w:pPr>
            <w:r>
              <w:rPr>
                <w:rFonts w:hint="eastAsia" w:ascii="仿宋_GB2312" w:eastAsia="仿宋_GB2312"/>
                <w:color w:val="000000"/>
                <w:sz w:val="20"/>
                <w:szCs w:val="20"/>
              </w:rPr>
              <w:t>一般公共服务支出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w:t>
            </w:r>
            <w:r>
              <w:rPr>
                <w:rFonts w:ascii="仿宋_GB2312" w:hAnsi="宋体" w:eastAsia="仿宋_GB2312" w:cs="宋体"/>
                <w:kern w:val="0"/>
                <w:sz w:val="18"/>
                <w:szCs w:val="18"/>
              </w:rPr>
              <w:t>1</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438.9</w:t>
            </w:r>
            <w:r>
              <w:rPr>
                <w:rFonts w:ascii="仿宋_GB2312" w:hAnsi="宋体" w:eastAsia="仿宋_GB2312" w:cs="宋体"/>
                <w:kern w:val="0"/>
                <w:sz w:val="18"/>
                <w:szCs w:val="18"/>
              </w:rPr>
              <w:t>1</w:t>
            </w: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201</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04</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eastAsia="仿宋_GB2312"/>
                <w:color w:val="000000"/>
                <w:sz w:val="20"/>
                <w:szCs w:val="20"/>
              </w:rPr>
              <w:t>发展与改革事务</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443.9</w:t>
            </w:r>
            <w:r>
              <w:rPr>
                <w:rFonts w:ascii="仿宋_GB2312" w:hAnsi="宋体" w:eastAsia="仿宋_GB2312" w:cs="宋体"/>
                <w:kern w:val="0"/>
                <w:sz w:val="18"/>
                <w:szCs w:val="18"/>
              </w:rPr>
              <w:t>1</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438.9</w:t>
            </w:r>
            <w:r>
              <w:rPr>
                <w:rFonts w:ascii="仿宋_GB2312" w:hAnsi="宋体" w:eastAsia="仿宋_GB2312" w:cs="宋体"/>
                <w:kern w:val="0"/>
                <w:sz w:val="18"/>
                <w:szCs w:val="18"/>
              </w:rPr>
              <w:t>1</w:t>
            </w: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201</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04</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01</w:t>
            </w: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eastAsia="仿宋_GB2312"/>
                <w:color w:val="000000"/>
                <w:sz w:val="20"/>
                <w:szCs w:val="20"/>
              </w:rPr>
              <w:t>行政运行</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438.9</w:t>
            </w:r>
            <w:r>
              <w:rPr>
                <w:rFonts w:ascii="仿宋_GB2312" w:hAnsi="宋体" w:eastAsia="仿宋_GB2312" w:cs="宋体"/>
                <w:kern w:val="0"/>
                <w:sz w:val="18"/>
                <w:szCs w:val="18"/>
              </w:rPr>
              <w:t>1</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438.9</w:t>
            </w:r>
            <w:r>
              <w:rPr>
                <w:rFonts w:ascii="仿宋_GB2312" w:hAnsi="宋体" w:eastAsia="仿宋_GB2312" w:cs="宋体"/>
                <w:kern w:val="0"/>
                <w:sz w:val="18"/>
                <w:szCs w:val="18"/>
              </w:rPr>
              <w:t>1</w:t>
            </w: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201</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04</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99</w:t>
            </w:r>
          </w:p>
        </w:tc>
        <w:tc>
          <w:tcPr>
            <w:tcW w:w="2668" w:type="dxa"/>
            <w:tcBorders>
              <w:top w:val="nil"/>
              <w:left w:val="nil"/>
              <w:bottom w:val="single" w:color="auto" w:sz="4" w:space="0"/>
              <w:right w:val="single" w:color="auto" w:sz="4" w:space="0"/>
            </w:tcBorders>
            <w:shd w:val="clear" w:color="auto" w:fill="auto"/>
            <w:vAlign w:val="center"/>
          </w:tcPr>
          <w:p>
            <w:pPr>
              <w:ind w:right="200"/>
              <w:jc w:val="right"/>
              <w:rPr>
                <w:rFonts w:ascii="宋体" w:hAnsi="宋体" w:cs="宋体"/>
                <w:color w:val="000000"/>
                <w:kern w:val="0"/>
                <w:sz w:val="20"/>
                <w:szCs w:val="20"/>
              </w:rPr>
            </w:pPr>
            <w:r>
              <w:rPr>
                <w:rFonts w:hint="eastAsia" w:ascii="仿宋_GB2312" w:eastAsia="仿宋_GB2312"/>
                <w:color w:val="000000"/>
                <w:sz w:val="20"/>
                <w:szCs w:val="20"/>
              </w:rPr>
              <w:t>其他发展与改革事务支出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208</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eastAsia="仿宋_GB2312"/>
                <w:color w:val="000000"/>
                <w:sz w:val="20"/>
                <w:szCs w:val="20"/>
              </w:rPr>
              <w:t>社会保障和就业支出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208</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05</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hAnsi="宋体" w:eastAsia="仿宋_GB2312" w:cs="宋体"/>
                <w:color w:val="000000"/>
                <w:sz w:val="20"/>
                <w:szCs w:val="20"/>
              </w:rPr>
              <w:t>行政事业单位养老支出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95"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208</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05</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05</w:t>
            </w: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hAnsi="宋体" w:eastAsia="仿宋_GB2312" w:cs="宋体"/>
                <w:color w:val="000000"/>
                <w:sz w:val="20"/>
                <w:szCs w:val="20"/>
              </w:rPr>
              <w:t>机关事业单位基本养老保险缴费支出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221</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hAnsi="宋体" w:eastAsia="仿宋_GB2312" w:cs="宋体"/>
                <w:color w:val="000000"/>
                <w:sz w:val="20"/>
                <w:szCs w:val="20"/>
              </w:rPr>
              <w:t>住房保障支出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221</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02</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hAnsi="宋体" w:eastAsia="仿宋_GB2312" w:cs="宋体"/>
                <w:color w:val="000000"/>
                <w:sz w:val="20"/>
                <w:szCs w:val="20"/>
              </w:rPr>
              <w:t>住房改革支出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221</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02</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01</w:t>
            </w: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eastAsia="仿宋_GB2312"/>
                <w:color w:val="000000"/>
                <w:sz w:val="20"/>
                <w:szCs w:val="20"/>
              </w:rPr>
              <w:t>住房公积金</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222</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eastAsia="仿宋_GB2312"/>
                <w:color w:val="000000"/>
                <w:sz w:val="20"/>
                <w:szCs w:val="20"/>
              </w:rPr>
              <w:t>粮油物资储备支出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r>
      <w:tr>
        <w:tblPrEx>
          <w:tblCellMar>
            <w:top w:w="0" w:type="dxa"/>
            <w:left w:w="108" w:type="dxa"/>
            <w:bottom w:w="0" w:type="dxa"/>
            <w:right w:w="108" w:type="dxa"/>
          </w:tblCellMar>
        </w:tblPrEx>
        <w:trPr>
          <w:trHeight w:val="519"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222</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04</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eastAsia="仿宋_GB2312"/>
                <w:color w:val="000000"/>
                <w:sz w:val="20"/>
                <w:szCs w:val="20"/>
              </w:rPr>
              <w:t>粮油储备</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r>
      <w:tr>
        <w:tblPrEx>
          <w:tblCellMar>
            <w:top w:w="0" w:type="dxa"/>
            <w:left w:w="108" w:type="dxa"/>
            <w:bottom w:w="0" w:type="dxa"/>
            <w:right w:w="108" w:type="dxa"/>
          </w:tblCellMar>
        </w:tblPrEx>
        <w:trPr>
          <w:trHeight w:val="443"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222</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04</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99</w:t>
            </w: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eastAsia="仿宋_GB2312"/>
                <w:color w:val="000000"/>
                <w:sz w:val="20"/>
                <w:szCs w:val="20"/>
              </w:rPr>
              <w:t>其他粮油储备支出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r>
      <w:tr>
        <w:tblPrEx>
          <w:tblCellMar>
            <w:top w:w="0" w:type="dxa"/>
            <w:left w:w="108" w:type="dxa"/>
            <w:bottom w:w="0" w:type="dxa"/>
            <w:right w:w="108" w:type="dxa"/>
          </w:tblCellMar>
        </w:tblPrEx>
        <w:trPr>
          <w:trHeight w:val="507"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224</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eastAsia="仿宋_GB2312"/>
                <w:color w:val="000000"/>
                <w:sz w:val="20"/>
                <w:szCs w:val="20"/>
              </w:rPr>
              <w:t>灾害防止及应急管理支出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r>
      <w:tr>
        <w:tblPrEx>
          <w:tblCellMar>
            <w:top w:w="0" w:type="dxa"/>
            <w:left w:w="108" w:type="dxa"/>
            <w:bottom w:w="0" w:type="dxa"/>
            <w:right w:w="108" w:type="dxa"/>
          </w:tblCellMar>
        </w:tblPrEx>
        <w:trPr>
          <w:trHeight w:val="507"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224</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04</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eastAsia="仿宋_GB2312"/>
                <w:color w:val="000000"/>
                <w:sz w:val="20"/>
                <w:szCs w:val="20"/>
              </w:rPr>
              <w:t>煤矿安全</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r>
      <w:tr>
        <w:tblPrEx>
          <w:tblCellMar>
            <w:top w:w="0" w:type="dxa"/>
            <w:left w:w="108" w:type="dxa"/>
            <w:bottom w:w="0" w:type="dxa"/>
            <w:right w:w="108" w:type="dxa"/>
          </w:tblCellMar>
        </w:tblPrEx>
        <w:trPr>
          <w:trHeight w:val="507"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224</w:t>
            </w:r>
          </w:p>
        </w:tc>
        <w:tc>
          <w:tcPr>
            <w:tcW w:w="486"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04</w:t>
            </w:r>
          </w:p>
        </w:tc>
        <w:tc>
          <w:tcPr>
            <w:tcW w:w="577" w:type="dxa"/>
            <w:tcBorders>
              <w:top w:val="nil"/>
              <w:left w:val="nil"/>
              <w:bottom w:val="single" w:color="auto" w:sz="4" w:space="0"/>
              <w:right w:val="single" w:color="auto" w:sz="4" w:space="0"/>
            </w:tcBorders>
            <w:shd w:val="clear" w:color="auto" w:fill="auto"/>
            <w:vAlign w:val="center"/>
          </w:tcPr>
          <w:p>
            <w:pPr>
              <w:jc w:val="right"/>
              <w:rPr>
                <w:rFonts w:ascii="宋体" w:hAnsi="宋体" w:cs="宋体"/>
                <w:color w:val="000000"/>
                <w:kern w:val="0"/>
                <w:sz w:val="20"/>
                <w:szCs w:val="20"/>
              </w:rPr>
            </w:pPr>
            <w:r>
              <w:rPr>
                <w:rFonts w:hint="eastAsia" w:ascii="仿宋_GB2312" w:eastAsia="仿宋_GB2312"/>
                <w:color w:val="000000"/>
                <w:sz w:val="20"/>
                <w:szCs w:val="20"/>
              </w:rPr>
              <w:t>99</w:t>
            </w:r>
          </w:p>
        </w:tc>
        <w:tc>
          <w:tcPr>
            <w:tcW w:w="2668"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kern w:val="0"/>
                <w:sz w:val="20"/>
                <w:szCs w:val="20"/>
              </w:rPr>
            </w:pPr>
            <w:r>
              <w:rPr>
                <w:rFonts w:hint="eastAsia" w:ascii="仿宋_GB2312" w:eastAsia="仿宋_GB2312"/>
                <w:color w:val="000000"/>
                <w:sz w:val="20"/>
                <w:szCs w:val="20"/>
              </w:rPr>
              <w:t>其他煤矿安全支出</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r>
      <w:tr>
        <w:tblPrEx>
          <w:tblCellMar>
            <w:top w:w="0" w:type="dxa"/>
            <w:left w:w="108" w:type="dxa"/>
            <w:bottom w:w="0" w:type="dxa"/>
            <w:right w:w="108" w:type="dxa"/>
          </w:tblCellMar>
        </w:tblPrEx>
        <w:trPr>
          <w:trHeight w:val="530" w:hRule="atLeast"/>
        </w:trPr>
        <w:tc>
          <w:tcPr>
            <w:tcW w:w="562"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4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26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1540"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612.93</w:t>
            </w:r>
          </w:p>
        </w:tc>
        <w:tc>
          <w:tcPr>
            <w:tcW w:w="1602"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504.93</w:t>
            </w:r>
          </w:p>
        </w:tc>
        <w:tc>
          <w:tcPr>
            <w:tcW w:w="1685"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w:t>
            </w:r>
          </w:p>
        </w:tc>
      </w:tr>
    </w:tbl>
    <w:p>
      <w:pPr>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表六：</w:t>
      </w:r>
    </w:p>
    <w:tbl>
      <w:tblPr>
        <w:tblStyle w:val="5"/>
        <w:tblW w:w="9328" w:type="dxa"/>
        <w:tblInd w:w="-148" w:type="dxa"/>
        <w:tblLayout w:type="fixed"/>
        <w:tblCellMar>
          <w:top w:w="0" w:type="dxa"/>
          <w:left w:w="108" w:type="dxa"/>
          <w:bottom w:w="0" w:type="dxa"/>
          <w:right w:w="108" w:type="dxa"/>
        </w:tblCellMar>
      </w:tblPr>
      <w:tblGrid>
        <w:gridCol w:w="757"/>
        <w:gridCol w:w="577"/>
        <w:gridCol w:w="3326"/>
        <w:gridCol w:w="560"/>
        <w:gridCol w:w="706"/>
        <w:gridCol w:w="976"/>
        <w:gridCol w:w="725"/>
        <w:gridCol w:w="1701"/>
      </w:tblGrid>
      <w:tr>
        <w:tblPrEx>
          <w:tblCellMar>
            <w:top w:w="0" w:type="dxa"/>
            <w:left w:w="108" w:type="dxa"/>
            <w:bottom w:w="0" w:type="dxa"/>
            <w:right w:w="108" w:type="dxa"/>
          </w:tblCellMar>
        </w:tblPrEx>
        <w:trPr>
          <w:trHeight w:val="355" w:hRule="atLeast"/>
        </w:trPr>
        <w:tc>
          <w:tcPr>
            <w:tcW w:w="9328" w:type="dxa"/>
            <w:gridSpan w:val="8"/>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660" w:type="dxa"/>
            <w:gridSpan w:val="3"/>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编制部门：哈密市伊州区发展和改革委员会</w:t>
            </w:r>
          </w:p>
        </w:tc>
        <w:tc>
          <w:tcPr>
            <w:tcW w:w="560"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1682"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2426" w:type="dxa"/>
            <w:gridSpan w:val="2"/>
            <w:tcBorders>
              <w:top w:val="nil"/>
              <w:left w:val="nil"/>
              <w:bottom w:val="nil"/>
              <w:right w:val="nil"/>
            </w:tcBorders>
            <w:shd w:val="clear" w:color="auto" w:fill="auto"/>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305" w:hRule="atLeast"/>
        </w:trPr>
        <w:tc>
          <w:tcPr>
            <w:tcW w:w="4660"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4668"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332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266"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合计</w:t>
            </w:r>
          </w:p>
        </w:tc>
        <w:tc>
          <w:tcPr>
            <w:tcW w:w="170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332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266"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339"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301</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工资福利支出</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465.56</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465.56</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301</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基本工资</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103.70</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103.70</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301</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02</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津贴补贴</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83.34</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83.34</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295"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301</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03</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奖金</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12.46</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12.46</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301</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08</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机关事业单位基本养老保险缴费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38.51</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301</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10</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职工基本医疗保险缴费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37.49</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37.49</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301</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12</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其他社会保障缴费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2.37</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2.37</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301</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13</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住房公积金</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27.51</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301</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99</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其他工资福利支出</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160.17</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160.17</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302</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商品和服务支出</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22.26</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22.26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302</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办公费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10.00</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302</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07</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邮电费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w:t>
            </w:r>
            <w:r>
              <w:rPr>
                <w:rFonts w:ascii="仿宋_GB2312" w:hAnsi="宋体" w:eastAsia="仿宋_GB2312" w:cs="宋体"/>
                <w:kern w:val="0"/>
                <w:sz w:val="18"/>
                <w:szCs w:val="18"/>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302</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11</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差旅费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302</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28</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工会经费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2.45</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302</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29</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福利费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r>
      <w:tr>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302</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31</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公务用车运行维护费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w:t>
            </w:r>
            <w:r>
              <w:rPr>
                <w:rFonts w:ascii="仿宋_GB2312" w:hAnsi="宋体" w:eastAsia="仿宋_GB2312" w:cs="宋体"/>
                <w:kern w:val="0"/>
                <w:sz w:val="18"/>
                <w:szCs w:val="18"/>
              </w:rPr>
              <w:t>0</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w:t>
            </w:r>
            <w:r>
              <w:rPr>
                <w:rFonts w:ascii="仿宋_GB2312" w:hAnsi="宋体" w:eastAsia="仿宋_GB2312" w:cs="宋体"/>
                <w:kern w:val="0"/>
                <w:sz w:val="18"/>
                <w:szCs w:val="18"/>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302</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99</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其他商品和服务支出</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303</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对个人和家庭的补助</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17.11</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17.11</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303</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离休费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12.02</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12.02</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303</w:t>
            </w:r>
          </w:p>
        </w:tc>
        <w:tc>
          <w:tcPr>
            <w:tcW w:w="577"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02</w:t>
            </w:r>
          </w:p>
        </w:tc>
        <w:tc>
          <w:tcPr>
            <w:tcW w:w="3326"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退休费</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5.10</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5.10</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33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33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c>
          <w:tcPr>
            <w:tcW w:w="3326"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color w:val="000000"/>
                <w:kern w:val="0"/>
                <w:sz w:val="20"/>
                <w:szCs w:val="20"/>
              </w:rPr>
            </w:pP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33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0"/>
                <w:szCs w:val="20"/>
              </w:rPr>
              <w:t>合计</w:t>
            </w:r>
          </w:p>
        </w:tc>
        <w:tc>
          <w:tcPr>
            <w:tcW w:w="1266"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504.93</w:t>
            </w:r>
          </w:p>
        </w:tc>
        <w:tc>
          <w:tcPr>
            <w:tcW w:w="1701" w:type="dxa"/>
            <w:gridSpan w:val="2"/>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482.66</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22.26</w:t>
            </w:r>
          </w:p>
        </w:tc>
      </w:tr>
    </w:tbl>
    <w:p>
      <w:pPr>
        <w:widowControl/>
        <w:jc w:val="left"/>
        <w:outlineLvl w:val="1"/>
        <w:rPr>
          <w:rFonts w:ascii="仿宋_GB2312" w:hAnsi="宋体" w:eastAsia="仿宋_GB2312"/>
          <w:bCs/>
          <w:kern w:val="0"/>
          <w:sz w:val="28"/>
          <w:szCs w:val="28"/>
        </w:rPr>
      </w:pPr>
    </w:p>
    <w:p>
      <w:pPr>
        <w:rPr>
          <w:rFonts w:ascii="仿宋_GB2312" w:hAnsi="宋体" w:eastAsia="仿宋_GB2312"/>
          <w:b/>
          <w:kern w:val="0"/>
          <w:sz w:val="32"/>
          <w:szCs w:val="32"/>
        </w:rPr>
      </w:pPr>
      <w:r>
        <w:rPr>
          <w:rFonts w:ascii="仿宋_GB2312" w:hAnsi="宋体" w:eastAsia="仿宋_GB2312"/>
          <w:b/>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5"/>
        <w:tblW w:w="9116" w:type="dxa"/>
        <w:jc w:val="center"/>
        <w:tblLayout w:type="fixed"/>
        <w:tblCellMar>
          <w:top w:w="0" w:type="dxa"/>
          <w:left w:w="108" w:type="dxa"/>
          <w:bottom w:w="0" w:type="dxa"/>
          <w:right w:w="108" w:type="dxa"/>
        </w:tblCellMar>
      </w:tblPr>
      <w:tblGrid>
        <w:gridCol w:w="467"/>
        <w:gridCol w:w="397"/>
        <w:gridCol w:w="404"/>
        <w:gridCol w:w="1072"/>
        <w:gridCol w:w="1257"/>
        <w:gridCol w:w="591"/>
        <w:gridCol w:w="562"/>
        <w:gridCol w:w="8"/>
        <w:gridCol w:w="389"/>
        <w:gridCol w:w="8"/>
        <w:gridCol w:w="498"/>
        <w:gridCol w:w="601"/>
        <w:gridCol w:w="367"/>
        <w:gridCol w:w="210"/>
        <w:gridCol w:w="397"/>
        <w:gridCol w:w="577"/>
        <w:gridCol w:w="517"/>
        <w:gridCol w:w="397"/>
        <w:gridCol w:w="284"/>
        <w:gridCol w:w="113"/>
      </w:tblGrid>
      <w:tr>
        <w:tblPrEx>
          <w:tblCellMar>
            <w:top w:w="0" w:type="dxa"/>
            <w:left w:w="108" w:type="dxa"/>
            <w:bottom w:w="0" w:type="dxa"/>
            <w:right w:w="108" w:type="dxa"/>
          </w:tblCellMar>
        </w:tblPrEx>
        <w:trPr>
          <w:gridAfter w:val="1"/>
          <w:wAfter w:w="113" w:type="dxa"/>
          <w:trHeight w:val="590" w:hRule="atLeast"/>
          <w:jc w:val="center"/>
        </w:trPr>
        <w:tc>
          <w:tcPr>
            <w:tcW w:w="9003" w:type="dxa"/>
            <w:gridSpan w:val="19"/>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kern w:val="0"/>
                <w:sz w:val="32"/>
                <w:szCs w:val="32"/>
              </w:rPr>
            </w:pPr>
          </w:p>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一般公共预算项目支出情况表</w:t>
            </w:r>
          </w:p>
        </w:tc>
      </w:tr>
      <w:tr>
        <w:tblPrEx>
          <w:tblCellMar>
            <w:top w:w="0" w:type="dxa"/>
            <w:left w:w="108" w:type="dxa"/>
            <w:bottom w:w="0" w:type="dxa"/>
            <w:right w:w="108" w:type="dxa"/>
          </w:tblCellMar>
        </w:tblPrEx>
        <w:trPr>
          <w:gridAfter w:val="1"/>
          <w:wAfter w:w="113" w:type="dxa"/>
          <w:trHeight w:val="405" w:hRule="atLeast"/>
          <w:jc w:val="center"/>
        </w:trPr>
        <w:tc>
          <w:tcPr>
            <w:tcW w:w="4750" w:type="dxa"/>
            <w:gridSpan w:val="7"/>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编制部门：哈密市伊州区发展和改革委员会</w:t>
            </w:r>
          </w:p>
        </w:tc>
        <w:tc>
          <w:tcPr>
            <w:tcW w:w="397"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1474" w:type="dxa"/>
            <w:gridSpan w:val="4"/>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4"/>
              </w:rPr>
            </w:pPr>
          </w:p>
        </w:tc>
        <w:tc>
          <w:tcPr>
            <w:tcW w:w="2382" w:type="dxa"/>
            <w:gridSpan w:val="6"/>
            <w:tcBorders>
              <w:top w:val="nil"/>
              <w:left w:val="nil"/>
              <w:bottom w:val="nil"/>
              <w:right w:val="nil"/>
            </w:tcBorders>
            <w:shd w:val="clear" w:color="auto" w:fill="auto"/>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268" w:type="dxa"/>
            <w:gridSpan w:val="3"/>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1072"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257" w:type="dxa"/>
            <w:vMerge w:val="restart"/>
            <w:shd w:val="clear" w:color="auto" w:fill="auto"/>
            <w:vAlign w:val="center"/>
          </w:tcPr>
          <w:p>
            <w:pPr>
              <w:jc w:val="center"/>
              <w:rPr>
                <w:rFonts w:ascii="Calibri" w:hAnsi="Calibri"/>
                <w:sz w:val="24"/>
              </w:rPr>
            </w:pPr>
            <w:r>
              <w:rPr>
                <w:rFonts w:hint="eastAsia" w:ascii="仿宋_GB2312" w:hAnsi="宋体" w:eastAsia="仿宋_GB2312"/>
                <w:b/>
                <w:kern w:val="0"/>
                <w:sz w:val="24"/>
              </w:rPr>
              <w:t>项目名称</w:t>
            </w:r>
          </w:p>
        </w:tc>
        <w:tc>
          <w:tcPr>
            <w:tcW w:w="591"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570"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397"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498"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601"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77"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39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51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397" w:type="dxa"/>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397" w:type="dxa"/>
            <w:gridSpan w:val="2"/>
            <w:vMerge w:val="restart"/>
            <w:shd w:val="clear" w:color="auto" w:fill="auto"/>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467" w:type="dxa"/>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397" w:type="dxa"/>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404" w:type="dxa"/>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1072" w:type="dxa"/>
            <w:vMerge w:val="continue"/>
            <w:tcBorders>
              <w:bottom w:val="single" w:color="auto" w:sz="4" w:space="0"/>
            </w:tcBorders>
            <w:shd w:val="clear" w:color="auto" w:fill="auto"/>
            <w:vAlign w:val="center"/>
          </w:tcPr>
          <w:p>
            <w:pPr>
              <w:widowControl/>
              <w:jc w:val="left"/>
              <w:outlineLvl w:val="1"/>
              <w:rPr>
                <w:rFonts w:ascii="仿宋_GB2312" w:hAnsi="宋体" w:eastAsia="仿宋_GB2312"/>
                <w:b/>
                <w:kern w:val="0"/>
                <w:sz w:val="18"/>
                <w:szCs w:val="18"/>
              </w:rPr>
            </w:pPr>
          </w:p>
        </w:tc>
        <w:tc>
          <w:tcPr>
            <w:tcW w:w="125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91"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70"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397"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498"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601"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77"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39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7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51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397" w:type="dxa"/>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c>
          <w:tcPr>
            <w:tcW w:w="397"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67" w:type="dxa"/>
            <w:shd w:val="clear" w:color="auto" w:fill="auto"/>
            <w:vAlign w:val="center"/>
          </w:tcPr>
          <w:p>
            <w:pPr>
              <w:widowControl/>
              <w:jc w:val="center"/>
              <w:outlineLvl w:val="1"/>
              <w:rPr>
                <w:rFonts w:ascii="仿宋_GB2312" w:hAnsi="宋体" w:eastAsia="仿宋_GB2312"/>
                <w:kern w:val="0"/>
                <w:sz w:val="15"/>
                <w:szCs w:val="15"/>
              </w:rPr>
            </w:pPr>
            <w:r>
              <w:rPr>
                <w:rFonts w:hint="eastAsia" w:ascii="仿宋_GB2312" w:hAnsi="宋体" w:eastAsia="仿宋_GB2312"/>
                <w:kern w:val="0"/>
                <w:sz w:val="15"/>
                <w:szCs w:val="15"/>
              </w:rPr>
              <w:t>201</w:t>
            </w:r>
          </w:p>
        </w:tc>
        <w:tc>
          <w:tcPr>
            <w:tcW w:w="397" w:type="dxa"/>
            <w:shd w:val="clear" w:color="auto" w:fill="auto"/>
            <w:vAlign w:val="center"/>
          </w:tcPr>
          <w:p>
            <w:pPr>
              <w:widowControl/>
              <w:ind w:firstLine="150" w:firstLineChars="100"/>
              <w:jc w:val="center"/>
              <w:outlineLvl w:val="1"/>
              <w:rPr>
                <w:rFonts w:ascii="仿宋_GB2312" w:hAnsi="宋体" w:eastAsia="仿宋_GB2312"/>
                <w:kern w:val="0"/>
                <w:sz w:val="15"/>
                <w:szCs w:val="15"/>
              </w:rPr>
            </w:pPr>
          </w:p>
        </w:tc>
        <w:tc>
          <w:tcPr>
            <w:tcW w:w="404" w:type="dxa"/>
            <w:shd w:val="clear" w:color="auto" w:fill="auto"/>
            <w:vAlign w:val="center"/>
          </w:tcPr>
          <w:p>
            <w:pPr>
              <w:widowControl/>
              <w:ind w:firstLine="150" w:firstLineChars="100"/>
              <w:jc w:val="center"/>
              <w:outlineLvl w:val="1"/>
              <w:rPr>
                <w:rFonts w:ascii="仿宋_GB2312" w:hAnsi="宋体" w:eastAsia="仿宋_GB2312"/>
                <w:kern w:val="0"/>
                <w:sz w:val="15"/>
                <w:szCs w:val="15"/>
              </w:rPr>
            </w:pPr>
          </w:p>
        </w:tc>
        <w:tc>
          <w:tcPr>
            <w:tcW w:w="1072" w:type="dxa"/>
            <w:shd w:val="clear" w:color="auto" w:fill="auto"/>
            <w:vAlign w:val="center"/>
          </w:tcPr>
          <w:p>
            <w:pPr>
              <w:jc w:val="left"/>
              <w:rPr>
                <w:rFonts w:ascii="仿宋_GB2312" w:hAnsi="宋体" w:eastAsia="仿宋_GB2312"/>
                <w:kern w:val="0"/>
                <w:sz w:val="20"/>
                <w:szCs w:val="20"/>
              </w:rPr>
            </w:pPr>
            <w:r>
              <w:rPr>
                <w:rFonts w:hint="eastAsia" w:ascii="仿宋_GB2312" w:eastAsia="仿宋_GB2312"/>
                <w:color w:val="000000"/>
                <w:sz w:val="18"/>
                <w:szCs w:val="18"/>
              </w:rPr>
              <w:t>一般公共服务支出</w:t>
            </w:r>
          </w:p>
        </w:tc>
        <w:tc>
          <w:tcPr>
            <w:tcW w:w="1257" w:type="dxa"/>
            <w:shd w:val="clear" w:color="auto" w:fill="auto"/>
            <w:vAlign w:val="center"/>
          </w:tcPr>
          <w:p>
            <w:pPr>
              <w:jc w:val="left"/>
              <w:rPr>
                <w:rFonts w:ascii="仿宋_GB2312" w:hAnsi="宋体" w:eastAsia="仿宋_GB2312"/>
                <w:kern w:val="0"/>
                <w:sz w:val="18"/>
                <w:szCs w:val="18"/>
              </w:rPr>
            </w:pPr>
          </w:p>
        </w:tc>
        <w:tc>
          <w:tcPr>
            <w:tcW w:w="591" w:type="dxa"/>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570"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498"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01"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7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1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67" w:type="dxa"/>
            <w:shd w:val="clear" w:color="auto" w:fill="auto"/>
            <w:vAlign w:val="center"/>
          </w:tcPr>
          <w:p>
            <w:pPr>
              <w:widowControl/>
              <w:outlineLvl w:val="1"/>
              <w:rPr>
                <w:rFonts w:ascii="仿宋_GB2312" w:hAnsi="宋体" w:eastAsia="仿宋_GB2312"/>
                <w:kern w:val="0"/>
                <w:sz w:val="15"/>
                <w:szCs w:val="15"/>
              </w:rPr>
            </w:pPr>
            <w:r>
              <w:rPr>
                <w:rFonts w:hint="eastAsia" w:ascii="仿宋_GB2312" w:hAnsi="宋体" w:eastAsia="仿宋_GB2312"/>
                <w:kern w:val="0"/>
                <w:sz w:val="15"/>
                <w:szCs w:val="15"/>
              </w:rPr>
              <w:t>201</w:t>
            </w:r>
          </w:p>
        </w:tc>
        <w:tc>
          <w:tcPr>
            <w:tcW w:w="397" w:type="dxa"/>
            <w:shd w:val="clear" w:color="auto" w:fill="auto"/>
            <w:vAlign w:val="center"/>
          </w:tcPr>
          <w:p>
            <w:pPr>
              <w:widowControl/>
              <w:jc w:val="center"/>
              <w:outlineLvl w:val="1"/>
              <w:rPr>
                <w:rFonts w:ascii="仿宋_GB2312" w:hAnsi="宋体" w:eastAsia="仿宋_GB2312"/>
                <w:kern w:val="0"/>
                <w:sz w:val="15"/>
                <w:szCs w:val="15"/>
              </w:rPr>
            </w:pPr>
            <w:r>
              <w:rPr>
                <w:rFonts w:hint="eastAsia" w:ascii="仿宋_GB2312" w:hAnsi="宋体" w:eastAsia="仿宋_GB2312"/>
                <w:kern w:val="0"/>
                <w:sz w:val="15"/>
                <w:szCs w:val="15"/>
              </w:rPr>
              <w:t>04</w:t>
            </w:r>
          </w:p>
        </w:tc>
        <w:tc>
          <w:tcPr>
            <w:tcW w:w="404" w:type="dxa"/>
            <w:shd w:val="clear" w:color="auto" w:fill="auto"/>
            <w:vAlign w:val="center"/>
          </w:tcPr>
          <w:p>
            <w:pPr>
              <w:widowControl/>
              <w:jc w:val="center"/>
              <w:outlineLvl w:val="1"/>
              <w:rPr>
                <w:rFonts w:ascii="仿宋_GB2312" w:hAnsi="宋体" w:eastAsia="仿宋_GB2312"/>
                <w:kern w:val="0"/>
                <w:sz w:val="15"/>
                <w:szCs w:val="15"/>
              </w:rPr>
            </w:pPr>
          </w:p>
        </w:tc>
        <w:tc>
          <w:tcPr>
            <w:tcW w:w="1072" w:type="dxa"/>
            <w:shd w:val="clear" w:color="auto" w:fill="auto"/>
            <w:vAlign w:val="center"/>
          </w:tcPr>
          <w:p>
            <w:pPr>
              <w:jc w:val="left"/>
              <w:rPr>
                <w:rFonts w:ascii="仿宋_GB2312" w:hAnsi="宋体" w:eastAsia="仿宋_GB2312"/>
                <w:kern w:val="0"/>
                <w:sz w:val="20"/>
                <w:szCs w:val="20"/>
              </w:rPr>
            </w:pPr>
            <w:r>
              <w:rPr>
                <w:rFonts w:hint="eastAsia" w:ascii="仿宋_GB2312" w:eastAsia="仿宋_GB2312"/>
                <w:color w:val="000000"/>
                <w:sz w:val="18"/>
                <w:szCs w:val="18"/>
              </w:rPr>
              <w:t>发展与改革事务</w:t>
            </w:r>
          </w:p>
        </w:tc>
        <w:tc>
          <w:tcPr>
            <w:tcW w:w="1257" w:type="dxa"/>
            <w:shd w:val="clear" w:color="auto" w:fill="auto"/>
            <w:vAlign w:val="center"/>
          </w:tcPr>
          <w:p>
            <w:pPr>
              <w:jc w:val="left"/>
              <w:rPr>
                <w:rFonts w:ascii="仿宋_GB2312" w:hAnsi="宋体" w:eastAsia="仿宋_GB2312"/>
                <w:kern w:val="0"/>
                <w:sz w:val="18"/>
                <w:szCs w:val="18"/>
              </w:rPr>
            </w:pPr>
          </w:p>
        </w:tc>
        <w:tc>
          <w:tcPr>
            <w:tcW w:w="591" w:type="dxa"/>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570"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498"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01"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7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1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67" w:type="dxa"/>
            <w:shd w:val="clear" w:color="auto" w:fill="auto"/>
            <w:vAlign w:val="center"/>
          </w:tcPr>
          <w:p>
            <w:pPr>
              <w:widowControl/>
              <w:jc w:val="center"/>
              <w:outlineLvl w:val="1"/>
              <w:rPr>
                <w:rFonts w:ascii="仿宋_GB2312" w:hAnsi="宋体" w:eastAsia="仿宋_GB2312"/>
                <w:kern w:val="0"/>
                <w:sz w:val="15"/>
                <w:szCs w:val="15"/>
              </w:rPr>
            </w:pPr>
            <w:r>
              <w:rPr>
                <w:rFonts w:hint="eastAsia" w:ascii="仿宋_GB2312" w:hAnsi="宋体" w:eastAsia="仿宋_GB2312"/>
                <w:kern w:val="0"/>
                <w:sz w:val="15"/>
                <w:szCs w:val="15"/>
              </w:rPr>
              <w:t>201</w:t>
            </w:r>
          </w:p>
        </w:tc>
        <w:tc>
          <w:tcPr>
            <w:tcW w:w="397" w:type="dxa"/>
            <w:shd w:val="clear" w:color="auto" w:fill="auto"/>
            <w:vAlign w:val="center"/>
          </w:tcPr>
          <w:p>
            <w:pPr>
              <w:widowControl/>
              <w:jc w:val="center"/>
              <w:outlineLvl w:val="1"/>
              <w:rPr>
                <w:rFonts w:ascii="仿宋_GB2312" w:hAnsi="宋体" w:eastAsia="仿宋_GB2312"/>
                <w:kern w:val="0"/>
                <w:sz w:val="15"/>
                <w:szCs w:val="15"/>
              </w:rPr>
            </w:pPr>
            <w:r>
              <w:rPr>
                <w:rFonts w:hint="eastAsia" w:ascii="仿宋_GB2312" w:hAnsi="宋体" w:eastAsia="仿宋_GB2312"/>
                <w:kern w:val="0"/>
                <w:sz w:val="15"/>
                <w:szCs w:val="15"/>
              </w:rPr>
              <w:t>04</w:t>
            </w:r>
          </w:p>
        </w:tc>
        <w:tc>
          <w:tcPr>
            <w:tcW w:w="404" w:type="dxa"/>
            <w:shd w:val="clear" w:color="auto" w:fill="auto"/>
            <w:vAlign w:val="center"/>
          </w:tcPr>
          <w:p>
            <w:pPr>
              <w:widowControl/>
              <w:jc w:val="center"/>
              <w:outlineLvl w:val="1"/>
              <w:rPr>
                <w:rFonts w:ascii="仿宋_GB2312" w:hAnsi="宋体" w:eastAsia="仿宋_GB2312"/>
                <w:kern w:val="0"/>
                <w:sz w:val="15"/>
                <w:szCs w:val="15"/>
              </w:rPr>
            </w:pPr>
            <w:r>
              <w:rPr>
                <w:rFonts w:hint="eastAsia" w:ascii="仿宋_GB2312" w:hAnsi="宋体" w:eastAsia="仿宋_GB2312"/>
                <w:kern w:val="0"/>
                <w:sz w:val="15"/>
                <w:szCs w:val="15"/>
              </w:rPr>
              <w:t>99</w:t>
            </w:r>
          </w:p>
        </w:tc>
        <w:tc>
          <w:tcPr>
            <w:tcW w:w="1072" w:type="dxa"/>
            <w:shd w:val="clear" w:color="auto" w:fill="auto"/>
          </w:tcPr>
          <w:p>
            <w:pPr>
              <w:widowControl/>
              <w:jc w:val="left"/>
              <w:outlineLvl w:val="1"/>
              <w:rPr>
                <w:rFonts w:ascii="仿宋_GB2312" w:hAnsi="宋体" w:eastAsia="仿宋_GB2312"/>
                <w:kern w:val="0"/>
                <w:sz w:val="20"/>
                <w:szCs w:val="20"/>
              </w:rPr>
            </w:pPr>
            <w:r>
              <w:rPr>
                <w:rFonts w:hint="eastAsia" w:ascii="仿宋_GB2312" w:hAnsi="宋体" w:eastAsia="仿宋_GB2312"/>
                <w:kern w:val="0"/>
                <w:sz w:val="18"/>
                <w:szCs w:val="18"/>
              </w:rPr>
              <w:t>其他发展与改革事务支出</w:t>
            </w:r>
          </w:p>
        </w:tc>
        <w:tc>
          <w:tcPr>
            <w:tcW w:w="1257" w:type="dxa"/>
            <w:shd w:val="clear" w:color="auto" w:fill="auto"/>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农产品成本调查经费</w:t>
            </w:r>
          </w:p>
        </w:tc>
        <w:tc>
          <w:tcPr>
            <w:tcW w:w="591" w:type="dxa"/>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570"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tcPr>
          <w:p>
            <w:pPr>
              <w:widowControl/>
              <w:spacing w:line="300" w:lineRule="exact"/>
              <w:jc w:val="right"/>
              <w:rPr>
                <w:rFonts w:ascii="仿宋_GB2312" w:hAnsi="宋体" w:eastAsia="仿宋_GB2312" w:cs="宋体"/>
                <w:kern w:val="0"/>
                <w:sz w:val="18"/>
                <w:szCs w:val="18"/>
              </w:rPr>
            </w:pPr>
          </w:p>
        </w:tc>
        <w:tc>
          <w:tcPr>
            <w:tcW w:w="51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67" w:type="dxa"/>
            <w:shd w:val="clear" w:color="auto" w:fill="auto"/>
          </w:tcPr>
          <w:p>
            <w:pPr>
              <w:widowControl/>
              <w:jc w:val="center"/>
              <w:outlineLvl w:val="1"/>
              <w:rPr>
                <w:rFonts w:ascii="仿宋_GB2312" w:hAnsi="宋体" w:eastAsia="仿宋_GB2312"/>
                <w:kern w:val="0"/>
                <w:sz w:val="15"/>
                <w:szCs w:val="15"/>
              </w:rPr>
            </w:pPr>
            <w:r>
              <w:rPr>
                <w:rFonts w:hint="eastAsia" w:ascii="仿宋_GB2312" w:hAnsi="宋体" w:eastAsia="仿宋_GB2312"/>
                <w:kern w:val="0"/>
                <w:sz w:val="15"/>
                <w:szCs w:val="15"/>
              </w:rPr>
              <w:t>222</w:t>
            </w:r>
          </w:p>
        </w:tc>
        <w:tc>
          <w:tcPr>
            <w:tcW w:w="397" w:type="dxa"/>
            <w:shd w:val="clear" w:color="auto" w:fill="auto"/>
          </w:tcPr>
          <w:p>
            <w:pPr>
              <w:widowControl/>
              <w:jc w:val="center"/>
              <w:outlineLvl w:val="1"/>
              <w:rPr>
                <w:rFonts w:ascii="仿宋_GB2312" w:hAnsi="宋体" w:eastAsia="仿宋_GB2312"/>
                <w:kern w:val="0"/>
                <w:sz w:val="15"/>
                <w:szCs w:val="15"/>
              </w:rPr>
            </w:pPr>
          </w:p>
        </w:tc>
        <w:tc>
          <w:tcPr>
            <w:tcW w:w="404" w:type="dxa"/>
            <w:shd w:val="clear" w:color="auto" w:fill="auto"/>
          </w:tcPr>
          <w:p>
            <w:pPr>
              <w:widowControl/>
              <w:jc w:val="center"/>
              <w:outlineLvl w:val="1"/>
              <w:rPr>
                <w:rFonts w:ascii="仿宋_GB2312" w:hAnsi="宋体" w:eastAsia="仿宋_GB2312"/>
                <w:kern w:val="0"/>
                <w:sz w:val="15"/>
                <w:szCs w:val="15"/>
              </w:rPr>
            </w:pPr>
          </w:p>
        </w:tc>
        <w:tc>
          <w:tcPr>
            <w:tcW w:w="1072" w:type="dxa"/>
            <w:shd w:val="clear" w:color="auto" w:fill="auto"/>
            <w:vAlign w:val="center"/>
          </w:tcPr>
          <w:p>
            <w:pPr>
              <w:jc w:val="left"/>
              <w:rPr>
                <w:rFonts w:ascii="仿宋_GB2312" w:hAnsi="宋体" w:eastAsia="仿宋_GB2312"/>
                <w:kern w:val="0"/>
                <w:sz w:val="20"/>
                <w:szCs w:val="20"/>
              </w:rPr>
            </w:pPr>
            <w:r>
              <w:rPr>
                <w:rFonts w:hint="eastAsia" w:ascii="仿宋_GB2312" w:eastAsia="仿宋_GB2312"/>
                <w:color w:val="000000"/>
                <w:sz w:val="18"/>
                <w:szCs w:val="18"/>
              </w:rPr>
              <w:t>粮油物资储备支出</w:t>
            </w:r>
          </w:p>
        </w:tc>
        <w:tc>
          <w:tcPr>
            <w:tcW w:w="1257" w:type="dxa"/>
            <w:shd w:val="clear" w:color="auto" w:fill="auto"/>
            <w:vAlign w:val="center"/>
          </w:tcPr>
          <w:p>
            <w:pPr>
              <w:jc w:val="left"/>
              <w:rPr>
                <w:rFonts w:ascii="仿宋_GB2312" w:hAnsi="宋体" w:eastAsia="仿宋_GB2312"/>
                <w:kern w:val="0"/>
                <w:sz w:val="18"/>
                <w:szCs w:val="18"/>
              </w:rPr>
            </w:pPr>
          </w:p>
        </w:tc>
        <w:tc>
          <w:tcPr>
            <w:tcW w:w="591"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570"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tcPr>
          <w:p>
            <w:pPr>
              <w:widowControl/>
              <w:spacing w:line="300" w:lineRule="exact"/>
              <w:jc w:val="right"/>
              <w:rPr>
                <w:rFonts w:ascii="仿宋_GB2312" w:hAnsi="宋体" w:eastAsia="仿宋_GB2312" w:cs="宋体"/>
                <w:kern w:val="0"/>
                <w:sz w:val="18"/>
                <w:szCs w:val="18"/>
              </w:rPr>
            </w:pPr>
          </w:p>
        </w:tc>
        <w:tc>
          <w:tcPr>
            <w:tcW w:w="517"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67" w:type="dxa"/>
            <w:shd w:val="clear" w:color="auto" w:fill="auto"/>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15"/>
                <w:szCs w:val="15"/>
              </w:rPr>
              <w:t>222</w:t>
            </w:r>
          </w:p>
        </w:tc>
        <w:tc>
          <w:tcPr>
            <w:tcW w:w="397" w:type="dxa"/>
            <w:shd w:val="clear" w:color="auto" w:fill="auto"/>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15"/>
                <w:szCs w:val="15"/>
              </w:rPr>
              <w:t>04</w:t>
            </w:r>
          </w:p>
        </w:tc>
        <w:tc>
          <w:tcPr>
            <w:tcW w:w="404" w:type="dxa"/>
            <w:shd w:val="clear" w:color="auto" w:fill="auto"/>
          </w:tcPr>
          <w:p>
            <w:pPr>
              <w:widowControl/>
              <w:jc w:val="center"/>
              <w:outlineLvl w:val="1"/>
              <w:rPr>
                <w:rFonts w:ascii="仿宋_GB2312" w:hAnsi="宋体" w:eastAsia="仿宋_GB2312"/>
                <w:kern w:val="0"/>
                <w:sz w:val="20"/>
                <w:szCs w:val="20"/>
              </w:rPr>
            </w:pPr>
          </w:p>
        </w:tc>
        <w:tc>
          <w:tcPr>
            <w:tcW w:w="1072" w:type="dxa"/>
            <w:shd w:val="clear" w:color="auto" w:fill="auto"/>
            <w:vAlign w:val="center"/>
          </w:tcPr>
          <w:p>
            <w:pPr>
              <w:jc w:val="left"/>
              <w:rPr>
                <w:rFonts w:ascii="仿宋_GB2312" w:hAnsi="宋体" w:eastAsia="仿宋_GB2312"/>
                <w:kern w:val="0"/>
                <w:sz w:val="20"/>
                <w:szCs w:val="20"/>
              </w:rPr>
            </w:pPr>
            <w:r>
              <w:rPr>
                <w:rFonts w:hint="eastAsia" w:ascii="仿宋_GB2312" w:eastAsia="仿宋_GB2312"/>
                <w:color w:val="000000"/>
                <w:sz w:val="18"/>
                <w:szCs w:val="18"/>
              </w:rPr>
              <w:t>粮油储备</w:t>
            </w:r>
          </w:p>
        </w:tc>
        <w:tc>
          <w:tcPr>
            <w:tcW w:w="1257" w:type="dxa"/>
            <w:shd w:val="clear" w:color="auto" w:fill="auto"/>
            <w:vAlign w:val="center"/>
          </w:tcPr>
          <w:p>
            <w:pPr>
              <w:jc w:val="left"/>
              <w:rPr>
                <w:rFonts w:ascii="仿宋_GB2312" w:hAnsi="宋体" w:eastAsia="仿宋_GB2312"/>
                <w:kern w:val="0"/>
                <w:sz w:val="18"/>
                <w:szCs w:val="18"/>
              </w:rPr>
            </w:pPr>
          </w:p>
        </w:tc>
        <w:tc>
          <w:tcPr>
            <w:tcW w:w="591"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570"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tcPr>
          <w:p>
            <w:pPr>
              <w:widowControl/>
              <w:spacing w:line="300" w:lineRule="exact"/>
              <w:jc w:val="right"/>
              <w:rPr>
                <w:rFonts w:ascii="仿宋_GB2312" w:hAnsi="宋体" w:eastAsia="仿宋_GB2312" w:cs="宋体"/>
                <w:kern w:val="0"/>
                <w:sz w:val="18"/>
                <w:szCs w:val="18"/>
              </w:rPr>
            </w:pPr>
          </w:p>
        </w:tc>
        <w:tc>
          <w:tcPr>
            <w:tcW w:w="517"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67" w:type="dxa"/>
            <w:shd w:val="clear" w:color="auto" w:fill="auto"/>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15"/>
                <w:szCs w:val="15"/>
              </w:rPr>
              <w:t>222</w:t>
            </w:r>
          </w:p>
        </w:tc>
        <w:tc>
          <w:tcPr>
            <w:tcW w:w="397" w:type="dxa"/>
            <w:shd w:val="clear" w:color="auto" w:fill="auto"/>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15"/>
                <w:szCs w:val="15"/>
              </w:rPr>
              <w:t>04</w:t>
            </w:r>
          </w:p>
        </w:tc>
        <w:tc>
          <w:tcPr>
            <w:tcW w:w="404" w:type="dxa"/>
            <w:shd w:val="clear" w:color="auto" w:fill="auto"/>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15"/>
                <w:szCs w:val="15"/>
              </w:rPr>
              <w:t>99</w:t>
            </w:r>
          </w:p>
        </w:tc>
        <w:tc>
          <w:tcPr>
            <w:tcW w:w="1072" w:type="dxa"/>
            <w:shd w:val="clear" w:color="auto" w:fill="auto"/>
            <w:vAlign w:val="center"/>
          </w:tcPr>
          <w:p>
            <w:pPr>
              <w:jc w:val="left"/>
              <w:rPr>
                <w:rFonts w:ascii="仿宋_GB2312" w:hAnsi="宋体" w:eastAsia="仿宋_GB2312"/>
                <w:kern w:val="0"/>
                <w:sz w:val="20"/>
                <w:szCs w:val="20"/>
              </w:rPr>
            </w:pPr>
            <w:r>
              <w:rPr>
                <w:rFonts w:hint="eastAsia" w:ascii="仿宋_GB2312" w:eastAsia="仿宋_GB2312"/>
                <w:color w:val="000000"/>
                <w:sz w:val="18"/>
                <w:szCs w:val="18"/>
              </w:rPr>
              <w:t>其他粮油储备支出</w:t>
            </w:r>
          </w:p>
        </w:tc>
        <w:tc>
          <w:tcPr>
            <w:tcW w:w="1257" w:type="dxa"/>
            <w:shd w:val="clear" w:color="auto" w:fill="auto"/>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5000吨县级储备粮贷款利息及保管费</w:t>
            </w:r>
          </w:p>
        </w:tc>
        <w:tc>
          <w:tcPr>
            <w:tcW w:w="591"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570"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tcPr>
          <w:p>
            <w:pPr>
              <w:widowControl/>
              <w:spacing w:line="300" w:lineRule="exact"/>
              <w:jc w:val="right"/>
              <w:rPr>
                <w:rFonts w:ascii="仿宋_GB2312" w:hAnsi="宋体" w:eastAsia="仿宋_GB2312" w:cs="宋体"/>
                <w:kern w:val="0"/>
                <w:sz w:val="18"/>
                <w:szCs w:val="18"/>
              </w:rPr>
            </w:pPr>
          </w:p>
        </w:tc>
        <w:tc>
          <w:tcPr>
            <w:tcW w:w="517" w:type="dxa"/>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67" w:type="dxa"/>
            <w:shd w:val="clear" w:color="auto" w:fill="auto"/>
          </w:tcPr>
          <w:p>
            <w:pPr>
              <w:widowControl/>
              <w:jc w:val="center"/>
              <w:outlineLvl w:val="1"/>
              <w:rPr>
                <w:rFonts w:ascii="仿宋_GB2312" w:hAnsi="宋体" w:eastAsia="仿宋_GB2312"/>
                <w:kern w:val="0"/>
                <w:sz w:val="32"/>
                <w:szCs w:val="32"/>
              </w:rPr>
            </w:pPr>
            <w:r>
              <w:rPr>
                <w:rFonts w:hint="eastAsia" w:ascii="仿宋_GB2312" w:hAnsi="宋体" w:eastAsia="仿宋_GB2312"/>
                <w:kern w:val="0"/>
                <w:sz w:val="15"/>
                <w:szCs w:val="15"/>
              </w:rPr>
              <w:t>224</w:t>
            </w:r>
          </w:p>
        </w:tc>
        <w:tc>
          <w:tcPr>
            <w:tcW w:w="397" w:type="dxa"/>
            <w:shd w:val="clear" w:color="auto" w:fill="auto"/>
          </w:tcPr>
          <w:p>
            <w:pPr>
              <w:widowControl/>
              <w:jc w:val="center"/>
              <w:outlineLvl w:val="1"/>
              <w:rPr>
                <w:rFonts w:ascii="仿宋_GB2312" w:hAnsi="宋体" w:eastAsia="仿宋_GB2312"/>
                <w:kern w:val="0"/>
                <w:sz w:val="32"/>
                <w:szCs w:val="32"/>
              </w:rPr>
            </w:pPr>
          </w:p>
        </w:tc>
        <w:tc>
          <w:tcPr>
            <w:tcW w:w="404" w:type="dxa"/>
            <w:shd w:val="clear" w:color="auto" w:fill="auto"/>
          </w:tcPr>
          <w:p>
            <w:pPr>
              <w:widowControl/>
              <w:jc w:val="center"/>
              <w:outlineLvl w:val="1"/>
              <w:rPr>
                <w:rFonts w:ascii="仿宋_GB2312" w:hAnsi="宋体" w:eastAsia="仿宋_GB2312"/>
                <w:kern w:val="0"/>
                <w:sz w:val="32"/>
                <w:szCs w:val="32"/>
              </w:rPr>
            </w:pPr>
          </w:p>
        </w:tc>
        <w:tc>
          <w:tcPr>
            <w:tcW w:w="1072" w:type="dxa"/>
            <w:shd w:val="clear" w:color="auto" w:fill="auto"/>
            <w:vAlign w:val="center"/>
          </w:tcPr>
          <w:p>
            <w:pPr>
              <w:jc w:val="left"/>
              <w:rPr>
                <w:rFonts w:ascii="仿宋_GB2312" w:hAnsi="宋体" w:eastAsia="仿宋_GB2312"/>
                <w:kern w:val="0"/>
                <w:sz w:val="18"/>
                <w:szCs w:val="18"/>
              </w:rPr>
            </w:pPr>
            <w:r>
              <w:rPr>
                <w:rFonts w:hint="eastAsia" w:ascii="仿宋_GB2312" w:eastAsia="仿宋_GB2312"/>
                <w:color w:val="000000"/>
                <w:sz w:val="18"/>
                <w:szCs w:val="18"/>
              </w:rPr>
              <w:t>灾害防止及应急管理支出</w:t>
            </w:r>
          </w:p>
        </w:tc>
        <w:tc>
          <w:tcPr>
            <w:tcW w:w="1257" w:type="dxa"/>
            <w:shd w:val="clear" w:color="auto" w:fill="auto"/>
            <w:vAlign w:val="center"/>
          </w:tcPr>
          <w:p>
            <w:pPr>
              <w:jc w:val="left"/>
              <w:rPr>
                <w:rFonts w:ascii="仿宋_GB2312" w:hAnsi="宋体" w:eastAsia="仿宋_GB2312"/>
                <w:kern w:val="0"/>
                <w:sz w:val="18"/>
                <w:szCs w:val="18"/>
              </w:rPr>
            </w:pPr>
          </w:p>
        </w:tc>
        <w:tc>
          <w:tcPr>
            <w:tcW w:w="591" w:type="dxa"/>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570"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tcPr>
          <w:p>
            <w:pPr>
              <w:widowControl/>
              <w:spacing w:line="300" w:lineRule="exact"/>
              <w:jc w:val="right"/>
              <w:rPr>
                <w:rFonts w:ascii="仿宋_GB2312" w:hAnsi="宋体" w:eastAsia="仿宋_GB2312" w:cs="宋体"/>
                <w:kern w:val="0"/>
                <w:sz w:val="18"/>
                <w:szCs w:val="18"/>
              </w:rPr>
            </w:pPr>
          </w:p>
        </w:tc>
        <w:tc>
          <w:tcPr>
            <w:tcW w:w="51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467" w:type="dxa"/>
            <w:shd w:val="clear" w:color="auto" w:fill="auto"/>
          </w:tcPr>
          <w:p>
            <w:pPr>
              <w:widowControl/>
              <w:jc w:val="center"/>
              <w:outlineLvl w:val="1"/>
              <w:rPr>
                <w:rFonts w:ascii="仿宋_GB2312" w:hAnsi="宋体" w:eastAsia="仿宋_GB2312"/>
                <w:kern w:val="0"/>
                <w:sz w:val="32"/>
                <w:szCs w:val="32"/>
              </w:rPr>
            </w:pPr>
            <w:r>
              <w:rPr>
                <w:rFonts w:hint="eastAsia" w:ascii="仿宋_GB2312" w:hAnsi="宋体" w:eastAsia="仿宋_GB2312"/>
                <w:kern w:val="0"/>
                <w:sz w:val="15"/>
                <w:szCs w:val="15"/>
              </w:rPr>
              <w:t>222</w:t>
            </w:r>
          </w:p>
        </w:tc>
        <w:tc>
          <w:tcPr>
            <w:tcW w:w="397" w:type="dxa"/>
            <w:shd w:val="clear" w:color="auto" w:fill="auto"/>
          </w:tcPr>
          <w:p>
            <w:pPr>
              <w:widowControl/>
              <w:jc w:val="center"/>
              <w:outlineLvl w:val="1"/>
              <w:rPr>
                <w:rFonts w:ascii="仿宋_GB2312" w:hAnsi="宋体" w:eastAsia="仿宋_GB2312"/>
                <w:kern w:val="0"/>
                <w:sz w:val="32"/>
                <w:szCs w:val="32"/>
              </w:rPr>
            </w:pPr>
            <w:r>
              <w:rPr>
                <w:rFonts w:hint="eastAsia" w:ascii="仿宋_GB2312" w:hAnsi="宋体" w:eastAsia="仿宋_GB2312"/>
                <w:kern w:val="0"/>
                <w:sz w:val="15"/>
                <w:szCs w:val="15"/>
              </w:rPr>
              <w:t>04</w:t>
            </w:r>
          </w:p>
        </w:tc>
        <w:tc>
          <w:tcPr>
            <w:tcW w:w="404" w:type="dxa"/>
            <w:shd w:val="clear" w:color="auto" w:fill="auto"/>
          </w:tcPr>
          <w:p>
            <w:pPr>
              <w:widowControl/>
              <w:jc w:val="center"/>
              <w:outlineLvl w:val="1"/>
              <w:rPr>
                <w:rFonts w:ascii="仿宋_GB2312" w:hAnsi="宋体" w:eastAsia="仿宋_GB2312"/>
                <w:kern w:val="0"/>
                <w:sz w:val="32"/>
                <w:szCs w:val="32"/>
              </w:rPr>
            </w:pPr>
          </w:p>
        </w:tc>
        <w:tc>
          <w:tcPr>
            <w:tcW w:w="1072" w:type="dxa"/>
            <w:shd w:val="clear" w:color="auto" w:fill="auto"/>
            <w:vAlign w:val="center"/>
          </w:tcPr>
          <w:p>
            <w:pPr>
              <w:jc w:val="left"/>
              <w:rPr>
                <w:rFonts w:ascii="仿宋_GB2312" w:hAnsi="宋体" w:eastAsia="仿宋_GB2312"/>
                <w:kern w:val="0"/>
                <w:sz w:val="32"/>
                <w:szCs w:val="32"/>
              </w:rPr>
            </w:pPr>
            <w:r>
              <w:rPr>
                <w:rFonts w:hint="eastAsia" w:ascii="仿宋_GB2312" w:eastAsia="仿宋_GB2312"/>
                <w:color w:val="000000"/>
                <w:sz w:val="18"/>
                <w:szCs w:val="18"/>
              </w:rPr>
              <w:t>煤矿安全</w:t>
            </w:r>
          </w:p>
        </w:tc>
        <w:tc>
          <w:tcPr>
            <w:tcW w:w="1257" w:type="dxa"/>
            <w:shd w:val="clear" w:color="auto" w:fill="auto"/>
            <w:vAlign w:val="center"/>
          </w:tcPr>
          <w:p>
            <w:pPr>
              <w:jc w:val="left"/>
              <w:rPr>
                <w:rFonts w:ascii="仿宋_GB2312" w:hAnsi="宋体" w:eastAsia="仿宋_GB2312"/>
                <w:kern w:val="0"/>
                <w:sz w:val="28"/>
                <w:szCs w:val="28"/>
              </w:rPr>
            </w:pPr>
          </w:p>
        </w:tc>
        <w:tc>
          <w:tcPr>
            <w:tcW w:w="591" w:type="dxa"/>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570"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tcPr>
          <w:p>
            <w:pPr>
              <w:widowControl/>
              <w:spacing w:line="300" w:lineRule="exact"/>
              <w:jc w:val="right"/>
              <w:rPr>
                <w:rFonts w:ascii="仿宋_GB2312" w:hAnsi="宋体" w:eastAsia="仿宋_GB2312" w:cs="宋体"/>
                <w:kern w:val="0"/>
                <w:sz w:val="18"/>
                <w:szCs w:val="18"/>
              </w:rPr>
            </w:pPr>
          </w:p>
        </w:tc>
        <w:tc>
          <w:tcPr>
            <w:tcW w:w="51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67" w:type="dxa"/>
            <w:shd w:val="clear" w:color="auto" w:fill="auto"/>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15"/>
                <w:szCs w:val="15"/>
              </w:rPr>
              <w:t>222</w:t>
            </w:r>
          </w:p>
        </w:tc>
        <w:tc>
          <w:tcPr>
            <w:tcW w:w="397" w:type="dxa"/>
            <w:shd w:val="clear" w:color="auto" w:fill="auto"/>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15"/>
                <w:szCs w:val="15"/>
              </w:rPr>
              <w:t>04</w:t>
            </w:r>
          </w:p>
        </w:tc>
        <w:tc>
          <w:tcPr>
            <w:tcW w:w="404" w:type="dxa"/>
            <w:shd w:val="clear" w:color="auto" w:fill="auto"/>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15"/>
                <w:szCs w:val="15"/>
              </w:rPr>
              <w:t>99</w:t>
            </w:r>
          </w:p>
        </w:tc>
        <w:tc>
          <w:tcPr>
            <w:tcW w:w="1072" w:type="dxa"/>
            <w:shd w:val="clear" w:color="auto" w:fill="auto"/>
            <w:vAlign w:val="center"/>
          </w:tcPr>
          <w:p>
            <w:pPr>
              <w:jc w:val="left"/>
              <w:rPr>
                <w:rFonts w:ascii="仿宋_GB2312" w:hAnsi="宋体" w:eastAsia="仿宋_GB2312"/>
                <w:kern w:val="0"/>
                <w:sz w:val="32"/>
                <w:szCs w:val="32"/>
              </w:rPr>
            </w:pPr>
            <w:r>
              <w:rPr>
                <w:rFonts w:hint="eastAsia" w:ascii="仿宋_GB2312" w:eastAsia="仿宋_GB2312"/>
                <w:color w:val="000000"/>
                <w:sz w:val="18"/>
                <w:szCs w:val="18"/>
              </w:rPr>
              <w:t>其他煤矿安全支出</w:t>
            </w:r>
          </w:p>
        </w:tc>
        <w:tc>
          <w:tcPr>
            <w:tcW w:w="1257" w:type="dxa"/>
            <w:shd w:val="clear" w:color="auto" w:fill="auto"/>
            <w:vAlign w:val="center"/>
          </w:tcPr>
          <w:p>
            <w:pPr>
              <w:jc w:val="left"/>
              <w:rPr>
                <w:rFonts w:ascii="仿宋_GB2312" w:hAnsi="宋体" w:eastAsia="仿宋_GB2312"/>
                <w:kern w:val="0"/>
                <w:sz w:val="28"/>
                <w:szCs w:val="28"/>
              </w:rPr>
            </w:pPr>
            <w:r>
              <w:rPr>
                <w:rFonts w:hint="eastAsia" w:ascii="仿宋_GB2312" w:hAnsi="宋体" w:eastAsia="仿宋_GB2312"/>
                <w:kern w:val="0"/>
                <w:sz w:val="18"/>
                <w:szCs w:val="18"/>
              </w:rPr>
              <w:t>煤炭安全生产工作经费</w:t>
            </w:r>
          </w:p>
        </w:tc>
        <w:tc>
          <w:tcPr>
            <w:tcW w:w="591" w:type="dxa"/>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570"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tcPr>
          <w:p>
            <w:pPr>
              <w:widowControl/>
              <w:spacing w:line="300" w:lineRule="exact"/>
              <w:jc w:val="right"/>
              <w:rPr>
                <w:rFonts w:ascii="仿宋_GB2312" w:hAnsi="宋体" w:eastAsia="仿宋_GB2312" w:cs="宋体"/>
                <w:kern w:val="0"/>
                <w:sz w:val="18"/>
                <w:szCs w:val="18"/>
              </w:rPr>
            </w:pPr>
          </w:p>
        </w:tc>
        <w:tc>
          <w:tcPr>
            <w:tcW w:w="51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7" w:type="dxa"/>
            <w:shd w:val="clear" w:color="auto" w:fill="auto"/>
          </w:tcPr>
          <w:p>
            <w:pPr>
              <w:widowControl/>
              <w:jc w:val="right"/>
              <w:outlineLvl w:val="1"/>
              <w:rPr>
                <w:rFonts w:ascii="仿宋_GB2312" w:hAnsi="宋体" w:eastAsia="仿宋_GB2312"/>
                <w:kern w:val="0"/>
                <w:sz w:val="32"/>
                <w:szCs w:val="32"/>
              </w:rPr>
            </w:pPr>
          </w:p>
        </w:tc>
        <w:tc>
          <w:tcPr>
            <w:tcW w:w="397" w:type="dxa"/>
            <w:shd w:val="clear" w:color="auto" w:fill="auto"/>
          </w:tcPr>
          <w:p>
            <w:pPr>
              <w:widowControl/>
              <w:jc w:val="right"/>
              <w:outlineLvl w:val="1"/>
              <w:rPr>
                <w:rFonts w:ascii="仿宋_GB2312" w:hAnsi="宋体" w:eastAsia="仿宋_GB2312"/>
                <w:kern w:val="0"/>
                <w:sz w:val="32"/>
                <w:szCs w:val="32"/>
              </w:rPr>
            </w:pPr>
          </w:p>
        </w:tc>
        <w:tc>
          <w:tcPr>
            <w:tcW w:w="404" w:type="dxa"/>
            <w:shd w:val="clear" w:color="auto" w:fill="auto"/>
          </w:tcPr>
          <w:p>
            <w:pPr>
              <w:widowControl/>
              <w:jc w:val="right"/>
              <w:outlineLvl w:val="1"/>
              <w:rPr>
                <w:rFonts w:ascii="仿宋_GB2312" w:hAnsi="宋体" w:eastAsia="仿宋_GB2312"/>
                <w:kern w:val="0"/>
                <w:sz w:val="32"/>
                <w:szCs w:val="32"/>
              </w:rPr>
            </w:pPr>
          </w:p>
        </w:tc>
        <w:tc>
          <w:tcPr>
            <w:tcW w:w="1072" w:type="dxa"/>
            <w:shd w:val="clear" w:color="auto" w:fill="auto"/>
          </w:tcPr>
          <w:p>
            <w:pPr>
              <w:widowControl/>
              <w:jc w:val="right"/>
              <w:outlineLvl w:val="1"/>
              <w:rPr>
                <w:rFonts w:ascii="仿宋_GB2312" w:hAnsi="宋体" w:eastAsia="仿宋_GB2312"/>
                <w:kern w:val="0"/>
                <w:sz w:val="32"/>
                <w:szCs w:val="32"/>
              </w:rPr>
            </w:pPr>
          </w:p>
        </w:tc>
        <w:tc>
          <w:tcPr>
            <w:tcW w:w="1257" w:type="dxa"/>
            <w:shd w:val="clear" w:color="auto" w:fill="auto"/>
          </w:tcPr>
          <w:p>
            <w:pPr>
              <w:widowControl/>
              <w:jc w:val="right"/>
              <w:outlineLvl w:val="1"/>
              <w:rPr>
                <w:rFonts w:ascii="仿宋_GB2312" w:hAnsi="宋体" w:eastAsia="仿宋_GB2312"/>
                <w:kern w:val="0"/>
                <w:sz w:val="28"/>
                <w:szCs w:val="28"/>
              </w:rPr>
            </w:pPr>
          </w:p>
        </w:tc>
        <w:tc>
          <w:tcPr>
            <w:tcW w:w="591" w:type="dxa"/>
            <w:shd w:val="clear" w:color="auto" w:fill="auto"/>
          </w:tcPr>
          <w:p>
            <w:pPr>
              <w:widowControl/>
              <w:spacing w:line="300" w:lineRule="exact"/>
              <w:jc w:val="right"/>
              <w:rPr>
                <w:rFonts w:ascii="仿宋_GB2312" w:hAnsi="宋体" w:eastAsia="仿宋_GB2312" w:cs="宋体"/>
                <w:kern w:val="0"/>
                <w:sz w:val="18"/>
                <w:szCs w:val="18"/>
              </w:rPr>
            </w:pPr>
          </w:p>
        </w:tc>
        <w:tc>
          <w:tcPr>
            <w:tcW w:w="570"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tcPr>
          <w:p>
            <w:pPr>
              <w:widowControl/>
              <w:spacing w:line="300" w:lineRule="exact"/>
              <w:jc w:val="right"/>
              <w:rPr>
                <w:rFonts w:ascii="仿宋_GB2312" w:hAnsi="宋体" w:eastAsia="仿宋_GB2312" w:cs="宋体"/>
                <w:kern w:val="0"/>
                <w:sz w:val="18"/>
                <w:szCs w:val="18"/>
              </w:rPr>
            </w:pPr>
          </w:p>
        </w:tc>
        <w:tc>
          <w:tcPr>
            <w:tcW w:w="51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467" w:type="dxa"/>
            <w:shd w:val="clear" w:color="auto" w:fill="auto"/>
          </w:tcPr>
          <w:p>
            <w:pPr>
              <w:widowControl/>
              <w:jc w:val="right"/>
              <w:outlineLvl w:val="1"/>
              <w:rPr>
                <w:rFonts w:ascii="仿宋_GB2312" w:hAnsi="宋体" w:eastAsia="仿宋_GB2312"/>
                <w:kern w:val="0"/>
                <w:sz w:val="32"/>
                <w:szCs w:val="32"/>
              </w:rPr>
            </w:pPr>
          </w:p>
        </w:tc>
        <w:tc>
          <w:tcPr>
            <w:tcW w:w="397" w:type="dxa"/>
            <w:shd w:val="clear" w:color="auto" w:fill="auto"/>
          </w:tcPr>
          <w:p>
            <w:pPr>
              <w:widowControl/>
              <w:jc w:val="right"/>
              <w:outlineLvl w:val="1"/>
              <w:rPr>
                <w:rFonts w:ascii="仿宋_GB2312" w:hAnsi="宋体" w:eastAsia="仿宋_GB2312"/>
                <w:kern w:val="0"/>
                <w:sz w:val="32"/>
                <w:szCs w:val="32"/>
              </w:rPr>
            </w:pPr>
          </w:p>
        </w:tc>
        <w:tc>
          <w:tcPr>
            <w:tcW w:w="404" w:type="dxa"/>
            <w:shd w:val="clear" w:color="auto" w:fill="auto"/>
          </w:tcPr>
          <w:p>
            <w:pPr>
              <w:widowControl/>
              <w:jc w:val="right"/>
              <w:outlineLvl w:val="1"/>
              <w:rPr>
                <w:rFonts w:ascii="仿宋_GB2312" w:hAnsi="宋体" w:eastAsia="仿宋_GB2312"/>
                <w:kern w:val="0"/>
                <w:sz w:val="32"/>
                <w:szCs w:val="32"/>
              </w:rPr>
            </w:pPr>
          </w:p>
        </w:tc>
        <w:tc>
          <w:tcPr>
            <w:tcW w:w="1072" w:type="dxa"/>
            <w:shd w:val="clear" w:color="auto" w:fill="auto"/>
          </w:tcPr>
          <w:p>
            <w:pPr>
              <w:widowControl/>
              <w:jc w:val="right"/>
              <w:outlineLvl w:val="1"/>
              <w:rPr>
                <w:rFonts w:ascii="仿宋_GB2312" w:hAnsi="宋体" w:eastAsia="仿宋_GB2312"/>
                <w:kern w:val="0"/>
                <w:sz w:val="32"/>
                <w:szCs w:val="32"/>
              </w:rPr>
            </w:pPr>
          </w:p>
        </w:tc>
        <w:tc>
          <w:tcPr>
            <w:tcW w:w="1257" w:type="dxa"/>
            <w:shd w:val="clear" w:color="auto" w:fill="auto"/>
          </w:tcPr>
          <w:p>
            <w:pPr>
              <w:widowControl/>
              <w:jc w:val="right"/>
              <w:outlineLvl w:val="1"/>
              <w:rPr>
                <w:rFonts w:ascii="仿宋_GB2312" w:hAnsi="宋体" w:eastAsia="仿宋_GB2312"/>
                <w:kern w:val="0"/>
                <w:sz w:val="32"/>
                <w:szCs w:val="32"/>
              </w:rPr>
            </w:pPr>
          </w:p>
        </w:tc>
        <w:tc>
          <w:tcPr>
            <w:tcW w:w="591" w:type="dxa"/>
            <w:shd w:val="clear" w:color="auto" w:fill="auto"/>
          </w:tcPr>
          <w:p>
            <w:pPr>
              <w:widowControl/>
              <w:spacing w:line="300" w:lineRule="exact"/>
              <w:jc w:val="right"/>
              <w:rPr>
                <w:rFonts w:ascii="仿宋_GB2312" w:hAnsi="宋体" w:eastAsia="仿宋_GB2312" w:cs="宋体"/>
                <w:kern w:val="0"/>
                <w:sz w:val="18"/>
                <w:szCs w:val="18"/>
              </w:rPr>
            </w:pPr>
          </w:p>
        </w:tc>
        <w:tc>
          <w:tcPr>
            <w:tcW w:w="570"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tcPr>
          <w:p>
            <w:pPr>
              <w:widowControl/>
              <w:spacing w:line="300" w:lineRule="exact"/>
              <w:jc w:val="right"/>
              <w:rPr>
                <w:rFonts w:ascii="仿宋_GB2312" w:hAnsi="宋体" w:eastAsia="仿宋_GB2312" w:cs="宋体"/>
                <w:kern w:val="0"/>
                <w:sz w:val="18"/>
                <w:szCs w:val="18"/>
              </w:rPr>
            </w:pPr>
          </w:p>
        </w:tc>
        <w:tc>
          <w:tcPr>
            <w:tcW w:w="51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67" w:type="dxa"/>
            <w:shd w:val="clear" w:color="auto" w:fill="auto"/>
          </w:tcPr>
          <w:p>
            <w:pPr>
              <w:widowControl/>
              <w:jc w:val="left"/>
              <w:outlineLvl w:val="1"/>
              <w:rPr>
                <w:rFonts w:ascii="仿宋_GB2312" w:hAnsi="宋体" w:eastAsia="仿宋_GB2312"/>
                <w:kern w:val="0"/>
                <w:sz w:val="32"/>
                <w:szCs w:val="32"/>
              </w:rPr>
            </w:pPr>
          </w:p>
        </w:tc>
        <w:tc>
          <w:tcPr>
            <w:tcW w:w="397" w:type="dxa"/>
            <w:shd w:val="clear" w:color="auto" w:fill="auto"/>
          </w:tcPr>
          <w:p>
            <w:pPr>
              <w:widowControl/>
              <w:jc w:val="left"/>
              <w:outlineLvl w:val="1"/>
              <w:rPr>
                <w:rFonts w:ascii="仿宋_GB2312" w:hAnsi="宋体" w:eastAsia="仿宋_GB2312"/>
                <w:kern w:val="0"/>
                <w:sz w:val="32"/>
                <w:szCs w:val="32"/>
              </w:rPr>
            </w:pPr>
          </w:p>
        </w:tc>
        <w:tc>
          <w:tcPr>
            <w:tcW w:w="404" w:type="dxa"/>
            <w:shd w:val="clear" w:color="auto" w:fill="auto"/>
          </w:tcPr>
          <w:p>
            <w:pPr>
              <w:widowControl/>
              <w:jc w:val="left"/>
              <w:outlineLvl w:val="1"/>
              <w:rPr>
                <w:rFonts w:ascii="仿宋_GB2312" w:hAnsi="宋体" w:eastAsia="仿宋_GB2312"/>
                <w:kern w:val="0"/>
                <w:sz w:val="32"/>
                <w:szCs w:val="32"/>
              </w:rPr>
            </w:pPr>
          </w:p>
        </w:tc>
        <w:tc>
          <w:tcPr>
            <w:tcW w:w="1072" w:type="dxa"/>
            <w:shd w:val="clear" w:color="auto" w:fill="auto"/>
          </w:tcPr>
          <w:p>
            <w:pPr>
              <w:widowControl/>
              <w:jc w:val="left"/>
              <w:outlineLvl w:val="1"/>
              <w:rPr>
                <w:rFonts w:ascii="仿宋_GB2312" w:hAnsi="宋体" w:eastAsia="仿宋_GB2312"/>
                <w:kern w:val="0"/>
                <w:sz w:val="32"/>
                <w:szCs w:val="32"/>
              </w:rPr>
            </w:pPr>
          </w:p>
        </w:tc>
        <w:tc>
          <w:tcPr>
            <w:tcW w:w="1257" w:type="dxa"/>
            <w:shd w:val="clear" w:color="auto" w:fill="auto"/>
            <w:vAlign w:val="center"/>
          </w:tcPr>
          <w:p>
            <w:pPr>
              <w:widowControl/>
              <w:jc w:val="center"/>
              <w:outlineLvl w:val="1"/>
              <w:rPr>
                <w:rFonts w:ascii="仿宋_GB2312" w:hAnsi="宋体" w:eastAsia="仿宋_GB2312"/>
                <w:kern w:val="0"/>
                <w:sz w:val="32"/>
                <w:szCs w:val="32"/>
              </w:rPr>
            </w:pPr>
          </w:p>
        </w:tc>
        <w:tc>
          <w:tcPr>
            <w:tcW w:w="591"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70"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1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67" w:type="dxa"/>
            <w:shd w:val="clear" w:color="auto" w:fill="auto"/>
          </w:tcPr>
          <w:p>
            <w:pPr>
              <w:widowControl/>
              <w:jc w:val="left"/>
              <w:outlineLvl w:val="1"/>
              <w:rPr>
                <w:rFonts w:ascii="仿宋_GB2312" w:hAnsi="宋体" w:eastAsia="仿宋_GB2312"/>
                <w:kern w:val="0"/>
                <w:sz w:val="32"/>
                <w:szCs w:val="32"/>
              </w:rPr>
            </w:pPr>
          </w:p>
        </w:tc>
        <w:tc>
          <w:tcPr>
            <w:tcW w:w="397" w:type="dxa"/>
            <w:shd w:val="clear" w:color="auto" w:fill="auto"/>
          </w:tcPr>
          <w:p>
            <w:pPr>
              <w:widowControl/>
              <w:jc w:val="left"/>
              <w:outlineLvl w:val="1"/>
              <w:rPr>
                <w:rFonts w:ascii="仿宋_GB2312" w:hAnsi="宋体" w:eastAsia="仿宋_GB2312"/>
                <w:kern w:val="0"/>
                <w:sz w:val="32"/>
                <w:szCs w:val="32"/>
              </w:rPr>
            </w:pPr>
          </w:p>
        </w:tc>
        <w:tc>
          <w:tcPr>
            <w:tcW w:w="404" w:type="dxa"/>
            <w:shd w:val="clear" w:color="auto" w:fill="auto"/>
          </w:tcPr>
          <w:p>
            <w:pPr>
              <w:widowControl/>
              <w:jc w:val="left"/>
              <w:outlineLvl w:val="1"/>
              <w:rPr>
                <w:rFonts w:ascii="仿宋_GB2312" w:hAnsi="宋体" w:eastAsia="仿宋_GB2312"/>
                <w:kern w:val="0"/>
                <w:sz w:val="32"/>
                <w:szCs w:val="32"/>
              </w:rPr>
            </w:pPr>
          </w:p>
        </w:tc>
        <w:tc>
          <w:tcPr>
            <w:tcW w:w="1072" w:type="dxa"/>
            <w:shd w:val="clear" w:color="auto" w:fill="auto"/>
          </w:tcPr>
          <w:p>
            <w:pPr>
              <w:widowControl/>
              <w:jc w:val="left"/>
              <w:outlineLvl w:val="1"/>
              <w:rPr>
                <w:rFonts w:ascii="仿宋_GB2312" w:hAnsi="宋体" w:eastAsia="仿宋_GB2312"/>
                <w:kern w:val="0"/>
                <w:sz w:val="32"/>
                <w:szCs w:val="32"/>
              </w:rPr>
            </w:pPr>
          </w:p>
        </w:tc>
        <w:tc>
          <w:tcPr>
            <w:tcW w:w="1257" w:type="dxa"/>
            <w:shd w:val="clear" w:color="auto" w:fill="auto"/>
            <w:vAlign w:val="center"/>
          </w:tcPr>
          <w:p>
            <w:pPr>
              <w:widowControl/>
              <w:jc w:val="center"/>
              <w:outlineLvl w:val="1"/>
              <w:rPr>
                <w:rFonts w:ascii="仿宋_GB2312" w:hAnsi="宋体" w:eastAsia="仿宋_GB2312"/>
                <w:kern w:val="0"/>
                <w:sz w:val="32"/>
                <w:szCs w:val="32"/>
              </w:rPr>
            </w:pPr>
          </w:p>
        </w:tc>
        <w:tc>
          <w:tcPr>
            <w:tcW w:w="591"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70"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1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67" w:type="dxa"/>
            <w:shd w:val="clear" w:color="auto" w:fill="auto"/>
          </w:tcPr>
          <w:p>
            <w:pPr>
              <w:widowControl/>
              <w:jc w:val="left"/>
              <w:outlineLvl w:val="1"/>
              <w:rPr>
                <w:rFonts w:ascii="仿宋_GB2312" w:hAnsi="宋体" w:eastAsia="仿宋_GB2312"/>
                <w:kern w:val="0"/>
                <w:sz w:val="32"/>
                <w:szCs w:val="32"/>
              </w:rPr>
            </w:pPr>
          </w:p>
        </w:tc>
        <w:tc>
          <w:tcPr>
            <w:tcW w:w="397" w:type="dxa"/>
            <w:shd w:val="clear" w:color="auto" w:fill="auto"/>
          </w:tcPr>
          <w:p>
            <w:pPr>
              <w:widowControl/>
              <w:jc w:val="left"/>
              <w:outlineLvl w:val="1"/>
              <w:rPr>
                <w:rFonts w:ascii="仿宋_GB2312" w:hAnsi="宋体" w:eastAsia="仿宋_GB2312"/>
                <w:kern w:val="0"/>
                <w:sz w:val="32"/>
                <w:szCs w:val="32"/>
              </w:rPr>
            </w:pPr>
          </w:p>
        </w:tc>
        <w:tc>
          <w:tcPr>
            <w:tcW w:w="404" w:type="dxa"/>
            <w:shd w:val="clear" w:color="auto" w:fill="auto"/>
          </w:tcPr>
          <w:p>
            <w:pPr>
              <w:widowControl/>
              <w:jc w:val="left"/>
              <w:outlineLvl w:val="1"/>
              <w:rPr>
                <w:rFonts w:ascii="仿宋_GB2312" w:hAnsi="宋体" w:eastAsia="仿宋_GB2312"/>
                <w:kern w:val="0"/>
                <w:sz w:val="32"/>
                <w:szCs w:val="32"/>
              </w:rPr>
            </w:pPr>
          </w:p>
        </w:tc>
        <w:tc>
          <w:tcPr>
            <w:tcW w:w="1072" w:type="dxa"/>
            <w:shd w:val="clear" w:color="auto" w:fill="auto"/>
          </w:tcPr>
          <w:p>
            <w:pPr>
              <w:widowControl/>
              <w:jc w:val="left"/>
              <w:outlineLvl w:val="1"/>
              <w:rPr>
                <w:rFonts w:ascii="仿宋_GB2312" w:hAnsi="宋体" w:eastAsia="仿宋_GB2312"/>
                <w:kern w:val="0"/>
                <w:sz w:val="32"/>
                <w:szCs w:val="32"/>
              </w:rPr>
            </w:pPr>
          </w:p>
        </w:tc>
        <w:tc>
          <w:tcPr>
            <w:tcW w:w="1257" w:type="dxa"/>
            <w:shd w:val="clear" w:color="auto" w:fill="auto"/>
            <w:vAlign w:val="center"/>
          </w:tcPr>
          <w:p>
            <w:pPr>
              <w:widowControl/>
              <w:jc w:val="center"/>
              <w:outlineLvl w:val="1"/>
              <w:rPr>
                <w:rFonts w:ascii="仿宋_GB2312" w:hAnsi="宋体" w:eastAsia="仿宋_GB2312"/>
                <w:kern w:val="0"/>
                <w:sz w:val="20"/>
                <w:szCs w:val="20"/>
              </w:rPr>
            </w:pPr>
            <w:r>
              <w:rPr>
                <w:rFonts w:hint="eastAsia" w:ascii="仿宋_GB2312" w:hAnsi="宋体" w:eastAsia="仿宋_GB2312"/>
                <w:kern w:val="0"/>
                <w:sz w:val="20"/>
                <w:szCs w:val="20"/>
              </w:rPr>
              <w:t>合计</w:t>
            </w:r>
          </w:p>
        </w:tc>
        <w:tc>
          <w:tcPr>
            <w:tcW w:w="591" w:type="dxa"/>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w:t>
            </w:r>
          </w:p>
        </w:tc>
        <w:tc>
          <w:tcPr>
            <w:tcW w:w="570"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498" w:type="dxa"/>
            <w:shd w:val="clear" w:color="auto" w:fill="auto"/>
          </w:tcPr>
          <w:p>
            <w:pPr>
              <w:widowControl/>
              <w:spacing w:line="300" w:lineRule="exact"/>
              <w:jc w:val="right"/>
              <w:rPr>
                <w:rFonts w:ascii="仿宋_GB2312" w:hAnsi="宋体" w:eastAsia="仿宋_GB2312" w:cs="宋体"/>
                <w:kern w:val="0"/>
                <w:sz w:val="18"/>
                <w:szCs w:val="18"/>
              </w:rPr>
            </w:pPr>
          </w:p>
        </w:tc>
        <w:tc>
          <w:tcPr>
            <w:tcW w:w="601"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gridSpan w:val="2"/>
            <w:shd w:val="clear" w:color="auto" w:fill="auto"/>
          </w:tcPr>
          <w:p>
            <w:pPr>
              <w:widowControl/>
              <w:spacing w:line="300" w:lineRule="exact"/>
              <w:jc w:val="right"/>
              <w:rPr>
                <w:rFonts w:ascii="仿宋_GB2312" w:hAnsi="宋体" w:eastAsia="仿宋_GB2312" w:cs="宋体"/>
                <w:kern w:val="0"/>
                <w:sz w:val="18"/>
                <w:szCs w:val="18"/>
              </w:rPr>
            </w:pPr>
          </w:p>
        </w:tc>
        <w:tc>
          <w:tcPr>
            <w:tcW w:w="397" w:type="dxa"/>
            <w:shd w:val="clear" w:color="auto" w:fill="auto"/>
          </w:tcPr>
          <w:p>
            <w:pPr>
              <w:widowControl/>
              <w:spacing w:line="300" w:lineRule="exact"/>
              <w:jc w:val="right"/>
              <w:rPr>
                <w:rFonts w:ascii="仿宋_GB2312" w:hAnsi="宋体" w:eastAsia="仿宋_GB2312" w:cs="宋体"/>
                <w:kern w:val="0"/>
                <w:sz w:val="18"/>
                <w:szCs w:val="18"/>
              </w:rPr>
            </w:pPr>
          </w:p>
        </w:tc>
        <w:tc>
          <w:tcPr>
            <w:tcW w:w="57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17" w:type="dxa"/>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397" w:type="dxa"/>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397" w:type="dxa"/>
            <w:gridSpan w:val="2"/>
            <w:shd w:val="clear" w:color="auto" w:fill="auto"/>
          </w:tcPr>
          <w:p>
            <w:pPr>
              <w:widowControl/>
              <w:jc w:val="right"/>
              <w:outlineLvl w:val="1"/>
              <w:rPr>
                <w:rFonts w:ascii="仿宋_GB2312" w:hAnsi="宋体" w:eastAsia="仿宋_GB2312"/>
                <w:kern w:val="0"/>
                <w:sz w:val="20"/>
                <w:szCs w:val="20"/>
              </w:rPr>
            </w:pPr>
          </w:p>
        </w:tc>
      </w:tr>
    </w:tbl>
    <w:p>
      <w:pPr>
        <w:rPr>
          <w:rFonts w:ascii="仿宋_GB2312" w:hAnsi="宋体" w:eastAsia="仿宋_GB2312"/>
          <w:bCs/>
          <w:kern w:val="0"/>
          <w:sz w:val="28"/>
          <w:szCs w:val="28"/>
        </w:rPr>
      </w:pPr>
      <w:r>
        <w:rPr>
          <w:rFonts w:hint="eastAsia" w:ascii="仿宋_GB2312" w:hAnsi="宋体" w:eastAsia="仿宋_GB2312"/>
          <w:bCs/>
          <w:kern w:val="0"/>
          <w:sz w:val="28"/>
          <w:szCs w:val="28"/>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left"/>
        <w:outlineLvl w:val="1"/>
        <w:rPr>
          <w:rFonts w:ascii="仿宋_GB2312" w:hAnsi="宋体" w:eastAsia="仿宋_GB2312"/>
          <w:b/>
          <w:kern w:val="0"/>
          <w:sz w:val="32"/>
          <w:szCs w:val="32"/>
        </w:rPr>
      </w:pP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cs="宋体"/>
          <w:color w:val="000000"/>
          <w:kern w:val="0"/>
          <w:sz w:val="24"/>
        </w:rPr>
        <w:t>哈密市伊州区发展和改革委员会</w:t>
      </w:r>
      <w:r>
        <w:rPr>
          <w:rFonts w:hint="eastAsia" w:ascii="仿宋_GB2312" w:hAnsi="宋体" w:eastAsia="仿宋_GB2312"/>
          <w:kern w:val="0"/>
          <w:sz w:val="24"/>
        </w:rPr>
        <w:t xml:space="preserve">单位：万元 </w:t>
      </w:r>
    </w:p>
    <w:tbl>
      <w:tblPr>
        <w:tblStyle w:val="5"/>
        <w:tblW w:w="9240" w:type="dxa"/>
        <w:tblInd w:w="-173" w:type="dxa"/>
        <w:tblLayout w:type="fixed"/>
        <w:tblCellMar>
          <w:top w:w="0" w:type="dxa"/>
          <w:left w:w="108" w:type="dxa"/>
          <w:bottom w:w="0" w:type="dxa"/>
          <w:right w:w="108" w:type="dxa"/>
        </w:tblCellMar>
      </w:tblPr>
      <w:tblGrid>
        <w:gridCol w:w="1575"/>
        <w:gridCol w:w="1417"/>
        <w:gridCol w:w="1559"/>
        <w:gridCol w:w="1418"/>
        <w:gridCol w:w="1559"/>
        <w:gridCol w:w="1712"/>
      </w:tblGrid>
      <w:tr>
        <w:tblPrEx>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公务接待费</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kern w:val="0"/>
                <w:sz w:val="22"/>
                <w:szCs w:val="22"/>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小计</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公务用车购置费</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w:t>
            </w:r>
          </w:p>
        </w:tc>
        <w:tc>
          <w:tcPr>
            <w:tcW w:w="1417"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w:t>
            </w: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w:t>
            </w:r>
          </w:p>
        </w:tc>
        <w:tc>
          <w:tcPr>
            <w:tcW w:w="141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w:t>
            </w: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4.8</w:t>
            </w:r>
          </w:p>
        </w:tc>
        <w:tc>
          <w:tcPr>
            <w:tcW w:w="1712"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w:t>
            </w:r>
          </w:p>
        </w:tc>
      </w:tr>
      <w:tr>
        <w:tblPrEx>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r>
        <w:tblPrEx>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c>
          <w:tcPr>
            <w:tcW w:w="17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4"/>
              </w:rPr>
            </w:pPr>
          </w:p>
        </w:tc>
      </w:tr>
    </w:tbl>
    <w:p>
      <w:pPr>
        <w:rPr>
          <w:rFonts w:ascii="仿宋_GB2312" w:hAnsi="宋体" w:eastAsia="仿宋_GB2312"/>
          <w:kern w:val="0"/>
          <w:sz w:val="32"/>
          <w:szCs w:val="32"/>
        </w:rPr>
      </w:pPr>
      <w:r>
        <w:rPr>
          <w:rFonts w:ascii="仿宋_GB2312" w:hAnsi="宋体" w:eastAsia="仿宋_GB2312"/>
          <w:kern w:val="0"/>
          <w:sz w:val="32"/>
          <w:szCs w:val="32"/>
        </w:rPr>
        <w:br w:type="page"/>
      </w: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表九：</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编制单位：</w:t>
      </w:r>
      <w:r>
        <w:rPr>
          <w:rFonts w:hint="eastAsia" w:ascii="仿宋_GB2312" w:hAnsi="宋体" w:eastAsia="仿宋_GB2312" w:cs="宋体"/>
          <w:color w:val="000000"/>
          <w:kern w:val="0"/>
          <w:sz w:val="24"/>
        </w:rPr>
        <w:t>哈密市伊州区发展和改革委员会</w:t>
      </w:r>
      <w:r>
        <w:rPr>
          <w:rFonts w:hint="eastAsia" w:ascii="仿宋_GB2312" w:hAnsi="宋体" w:eastAsia="仿宋_GB2312"/>
          <w:kern w:val="0"/>
          <w:sz w:val="24"/>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39"/>
        <w:gridCol w:w="551"/>
        <w:gridCol w:w="2620"/>
        <w:gridCol w:w="1559"/>
        <w:gridCol w:w="1701"/>
        <w:gridCol w:w="1559"/>
      </w:tblGrid>
      <w:tr>
        <w:tblPrEx>
          <w:tblCellMar>
            <w:top w:w="0" w:type="dxa"/>
            <w:left w:w="108" w:type="dxa"/>
            <w:bottom w:w="0" w:type="dxa"/>
            <w:right w:w="108" w:type="dxa"/>
          </w:tblCellMar>
        </w:tblPrEx>
        <w:trPr>
          <w:trHeight w:val="465" w:hRule="atLeast"/>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81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7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6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小计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63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5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62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415"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63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55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2620"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39"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63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5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262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r>
        <w:tblPrEx>
          <w:tblCellMar>
            <w:top w:w="0" w:type="dxa"/>
            <w:left w:w="108" w:type="dxa"/>
            <w:bottom w:w="0" w:type="dxa"/>
            <w:right w:w="108" w:type="dxa"/>
          </w:tblCellMar>
        </w:tblPrEx>
        <w:trPr>
          <w:trHeight w:val="444"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63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4"/>
              </w:rPr>
            </w:pPr>
          </w:p>
        </w:tc>
        <w:tc>
          <w:tcPr>
            <w:tcW w:w="5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262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kern w:val="0"/>
                <w:sz w:val="24"/>
              </w:rPr>
            </w:pPr>
          </w:p>
        </w:tc>
      </w:tr>
    </w:tbl>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备注：本年无政府性基金预算支出预算安排，此表为空表。</w:t>
      </w:r>
    </w:p>
    <w:p>
      <w:pPr>
        <w:widowControl/>
        <w:jc w:val="left"/>
        <w:outlineLvl w:val="1"/>
        <w:rPr>
          <w:rFonts w:ascii="仿宋_GB2312" w:hAnsi="宋体" w:eastAsia="仿宋_GB2312"/>
          <w:kern w:val="0"/>
          <w:sz w:val="32"/>
          <w:szCs w:val="32"/>
        </w:rPr>
        <w:sectPr>
          <w:footerReference r:id="rId3" w:type="default"/>
          <w:footerReference r:id="rId4"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2021年伊州区发展和改革委员会部门预算情况说明</w:t>
      </w:r>
    </w:p>
    <w:p>
      <w:pPr>
        <w:spacing w:line="560" w:lineRule="exact"/>
        <w:jc w:val="center"/>
        <w:rPr>
          <w:rFonts w:ascii="黑体" w:hAnsi="黑体" w:eastAsia="黑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关于哈密市伊州区发展和改革委员会2021年收支预算情况的总体说明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按照全口径预算的原则，哈密市伊州区发展和改革委员会2021年所有收入和支出均纳入部门预算管理。收支总预算612.93万元。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收入预算包括：一般公共预算612.93万元；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支出预算包括：一般公共服务支出443.91万元、社会保障和就业支出38.51万元、住房保障支出27.51万元、粮油物资储备支出100万元，灾害防治及应急管理支出3万元。</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二、关于哈密市伊州区发展和改革委员会2021年收入预算情况说明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哈密市伊州区发展和改革委员会收入预算612.93万元，其中：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一般公共预算612.93万元，占100%，比上年预算增加66.51万元，增长12.17%</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主要原因是:1、2021年增加了农产品成本调查经费预算5万元、煤炭安全生产工作经费预算3万元；2、2021年对下属企业的补助—粮油物资储备支出项目的预算增加50万元；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三、关于哈密市伊州区发展和改革委员会2021年支出预算情况说明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哈密市伊州区发展和改革委员会2021年支出预算612.93万元，其中：</w:t>
      </w:r>
    </w:p>
    <w:p>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基本支出504.93万元，占82.38%，</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增加</w:t>
      </w:r>
      <w:r>
        <w:rPr>
          <w:rFonts w:hint="eastAsia" w:ascii="仿宋_GB2312" w:hAnsi="宋体" w:eastAsia="仿宋_GB2312" w:cs="宋体"/>
          <w:kern w:val="0"/>
          <w:sz w:val="32"/>
          <w:szCs w:val="32"/>
        </w:rPr>
        <w:t>8.51万元，主要原因是人员工资的上浮及社保缴费、公积金缴费的上浮。</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项目支出108万元，占17.62%，</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w:t>
      </w:r>
      <w:r>
        <w:rPr>
          <w:rFonts w:hint="eastAsia" w:ascii="仿宋_GB2312" w:hAnsi="宋体" w:eastAsia="仿宋_GB2312" w:cs="宋体"/>
          <w:kern w:val="0"/>
          <w:sz w:val="32"/>
          <w:szCs w:val="32"/>
          <w:highlight w:val="none"/>
        </w:rPr>
        <w:t>增加</w:t>
      </w:r>
      <w:r>
        <w:rPr>
          <w:rFonts w:hint="eastAsia" w:ascii="仿宋_GB2312" w:hAnsi="宋体" w:eastAsia="仿宋_GB2312" w:cs="宋体"/>
          <w:kern w:val="0"/>
          <w:sz w:val="32"/>
          <w:szCs w:val="32"/>
        </w:rPr>
        <w:t>58万元，主要原因是1、2021年增加了农产品成本调查经费预算5万元、煤炭安全生产工作经费预算3万元；2、2021年对下属企业的补助—粮油物资储备支出项目的预算增加50万元。</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四、关于</w:t>
      </w:r>
      <w:r>
        <w:rPr>
          <w:rFonts w:hint="eastAsia" w:ascii="黑体" w:hAnsi="宋体" w:eastAsia="黑体" w:cs="宋体"/>
          <w:kern w:val="0"/>
          <w:sz w:val="32"/>
          <w:szCs w:val="32"/>
        </w:rPr>
        <w:t>哈密市伊州区发展和改革委员会</w:t>
      </w:r>
      <w:r>
        <w:rPr>
          <w:rFonts w:hint="eastAsia" w:ascii="黑体" w:hAnsi="黑体" w:eastAsia="黑体" w:cs="宋体"/>
          <w:bCs/>
          <w:kern w:val="0"/>
          <w:sz w:val="32"/>
          <w:szCs w:val="32"/>
        </w:rPr>
        <w:t>2021年财政拨款收支预算情况的总体说明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2021年财政拨款收支总预算612.93万元。</w:t>
      </w:r>
    </w:p>
    <w:p>
      <w:pPr>
        <w:spacing w:line="56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收入预算包括：一般公共预算拨款612.93万元。</w:t>
      </w:r>
    </w:p>
    <w:p>
      <w:pPr>
        <w:spacing w:line="560" w:lineRule="exact"/>
        <w:ind w:firstLine="640" w:firstLineChars="200"/>
        <w:rPr>
          <w:rFonts w:ascii="仿宋_GB2312" w:eastAsia="仿宋_GB2312"/>
          <w:sz w:val="32"/>
          <w:szCs w:val="32"/>
        </w:rPr>
      </w:pPr>
      <w:r>
        <w:rPr>
          <w:rFonts w:hint="eastAsia" w:ascii="仿宋_GB2312" w:hAnsi="宋体" w:eastAsia="仿宋_GB2312" w:cs="宋体"/>
          <w:kern w:val="0"/>
          <w:sz w:val="32"/>
          <w:szCs w:val="32"/>
        </w:rPr>
        <w:t>一般公共预算支出预算包括：</w:t>
      </w:r>
      <w:r>
        <w:rPr>
          <w:rFonts w:hint="eastAsia" w:ascii="仿宋_GB2312" w:eastAsia="仿宋_GB2312"/>
          <w:sz w:val="32"/>
          <w:szCs w:val="32"/>
        </w:rPr>
        <w:t>一般公共服务支出（201类）443.91万元，主要用于保障机关正常运行的人员经费、公用经费；社会保障和就业支出（208类）38.51万元，主要用于社会保障缴费支出；住房保障支出（221类）27.51万元，主要用于住房公积金缴费。粮油物资储备支出（222类）100万元，主要用于5000吨县级储备粮贷款利息及保管费；灾害防治及应急管理支出（224类）3万元，主要用于煤炭安全生产经费。</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五、关于哈密市伊州区发展和改革委员会2021年一般公共预算当年拨款情况说明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（一）一般公用预算当年拨款规模变化情况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哈密市伊州区发展和改革委员会2021年一般公共预算拨款合计612.93万元，其中：基本支出504.93万元，比上年预算数增加8.51万元，增长1.71%，主要原因是人员工资的上浮及社保缴费、公积金缴费的上浮。</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108万元，比上年预算数增加58万元，增长116%，主要原因是1、2021年增加了农产品成本调查经费预算5万元、煤炭安全生产工作经费预算3万元；2、2021年对下属企业的补助—粮油物资储备支出项目的预算增加50万元。</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（二）一般公共预算当年拨款结构情况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1、一般公共服务支出（201类）443.91万元，占72.42%；</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2、社会保障和就业支出（208类）38.51万元，占6.28%；</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3、住房保障支出（221类）27.51万元，占4.49%；</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4、粮油物资储备支出（222类）100万元，占16.32%。</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5、灾害防治及应急管理支出（224类）3万元，占0.49%。</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支出</w:t>
      </w:r>
      <w:r>
        <w:rPr>
          <w:rFonts w:ascii="仿宋_GB2312" w:hAnsi="宋体" w:eastAsia="仿宋_GB2312" w:cs="宋体"/>
          <w:kern w:val="0"/>
          <w:sz w:val="32"/>
          <w:szCs w:val="32"/>
        </w:rPr>
        <w:t>（</w:t>
      </w:r>
      <w:r>
        <w:rPr>
          <w:rFonts w:hint="eastAsia" w:ascii="仿宋_GB2312" w:hAnsi="宋体" w:eastAsia="仿宋_GB2312" w:cs="宋体"/>
          <w:kern w:val="0"/>
          <w:sz w:val="32"/>
          <w:szCs w:val="32"/>
        </w:rPr>
        <w:t>201</w:t>
      </w:r>
      <w:r>
        <w:rPr>
          <w:rFonts w:ascii="仿宋_GB2312" w:hAnsi="宋体" w:eastAsia="仿宋_GB2312" w:cs="宋体"/>
          <w:kern w:val="0"/>
          <w:sz w:val="32"/>
          <w:szCs w:val="32"/>
        </w:rPr>
        <w:t>类）</w:t>
      </w:r>
      <w:r>
        <w:rPr>
          <w:rFonts w:hint="eastAsia" w:ascii="仿宋_GB2312" w:hAnsi="宋体" w:eastAsia="仿宋_GB2312" w:cs="宋体"/>
          <w:kern w:val="0"/>
          <w:sz w:val="32"/>
          <w:szCs w:val="32"/>
        </w:rPr>
        <w:t>发展与改革事务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04</w:t>
      </w:r>
      <w:r>
        <w:rPr>
          <w:rFonts w:ascii="仿宋_GB2312" w:hAnsi="宋体" w:eastAsia="仿宋_GB2312" w:cs="宋体"/>
          <w:kern w:val="0"/>
          <w:sz w:val="32"/>
          <w:szCs w:val="32"/>
        </w:rPr>
        <w:t>款）行政运行（</w:t>
      </w:r>
      <w:r>
        <w:rPr>
          <w:rFonts w:hint="eastAsia" w:ascii="仿宋_GB2312" w:hAnsi="宋体" w:eastAsia="仿宋_GB2312" w:cs="宋体"/>
          <w:kern w:val="0"/>
          <w:sz w:val="32"/>
          <w:szCs w:val="32"/>
        </w:rPr>
        <w:t>01</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2021</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438.91</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比上年预算数减少90.33万元，下降16.91%，主要原因</w:t>
      </w:r>
      <w:r>
        <w:rPr>
          <w:rFonts w:hint="eastAsia" w:ascii="仿宋_GB2312" w:hAnsi="宋体" w:eastAsia="仿宋_GB2312" w:cs="宋体"/>
          <w:kern w:val="0"/>
          <w:sz w:val="32"/>
          <w:szCs w:val="32"/>
          <w:lang w:val="en-US" w:eastAsia="zh-CN"/>
        </w:rPr>
        <w:t>是</w:t>
      </w:r>
      <w:r>
        <w:rPr>
          <w:rFonts w:hint="eastAsia" w:ascii="仿宋_GB2312" w:hAnsi="宋体" w:eastAsia="仿宋_GB2312" w:cs="宋体"/>
          <w:kern w:val="0"/>
          <w:sz w:val="32"/>
          <w:szCs w:val="32"/>
        </w:rPr>
        <w:t>2020年支付了污水处理提标改造项目前期费用100万。</w:t>
      </w:r>
    </w:p>
    <w:p>
      <w:pPr>
        <w:spacing w:line="560" w:lineRule="exact"/>
        <w:ind w:firstLine="640" w:firstLineChars="200"/>
        <w:rPr>
          <w:rFonts w:ascii="仿宋_GB2312" w:hAnsi="宋体" w:eastAsia="仿宋_GB2312" w:cs="宋体"/>
          <w:color w:val="FF0000"/>
          <w:kern w:val="0"/>
          <w:sz w:val="32"/>
          <w:szCs w:val="32"/>
        </w:rPr>
      </w:pPr>
      <w:r>
        <w:rPr>
          <w:rFonts w:hint="eastAsia" w:ascii="仿宋_GB2312" w:hAnsi="宋体" w:eastAsia="仿宋_GB2312" w:cs="宋体"/>
          <w:kern w:val="0"/>
          <w:sz w:val="32"/>
          <w:szCs w:val="32"/>
        </w:rPr>
        <w:t>2.一般公共服务支出（201类）发展与改革事务（04款）其他发展和改革事务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99</w:t>
      </w:r>
      <w:r>
        <w:rPr>
          <w:rFonts w:ascii="仿宋_GB2312" w:hAnsi="宋体" w:eastAsia="仿宋_GB2312" w:cs="宋体"/>
          <w:kern w:val="0"/>
          <w:sz w:val="32"/>
          <w:szCs w:val="32"/>
        </w:rPr>
        <w:t>项）:</w:t>
      </w:r>
      <w:r>
        <w:rPr>
          <w:rFonts w:hint="eastAsia" w:ascii="仿宋_GB2312" w:hAnsi="宋体" w:eastAsia="仿宋_GB2312" w:cs="宋体"/>
          <w:kern w:val="0"/>
          <w:sz w:val="32"/>
          <w:szCs w:val="32"/>
        </w:rPr>
        <w:t>2021</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5</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比上年预算数减少2.61万元，下降34.30%，主要原因是2020年支付了以前年度结转资金。</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3、社会保障和就业支出（208类）行政事业单位养老支出（05款）机关事业单位基本养老保险缴费支出（05项）：2021年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rPr>
        <w:t>38.51</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比上年预算数增加8.52万元，增长28.41%，主要原因是：将地方财聘人员养老保险补助纳入此类预算，缴费增加。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4.住房保障支出（221类）住房改革支出（02款）住房公积金（01项）：2021</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27.51</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比上年预算增加6.79万元，增长32.77%，主要原因是：将地方财聘人员住房公积金补助纳入此类预算，缴费增加。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5.粮油物资储备支出（222类）粮油储备（04款）其他粮油储备支出（99项）：2021</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100</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比上年预算数增加0万元，增长0%，主要原因是：与上年相比无变化。</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6.灾害防治及应急管理支出（224类）煤矿安全（04款）其他煤矿安全支出（99项）：2021</w:t>
      </w:r>
      <w:r>
        <w:rPr>
          <w:rFonts w:ascii="仿宋_GB2312" w:hAnsi="宋体" w:eastAsia="仿宋_GB2312" w:cs="宋体"/>
          <w:kern w:val="0"/>
          <w:sz w:val="32"/>
          <w:szCs w:val="32"/>
        </w:rPr>
        <w:t>年预算为</w:t>
      </w:r>
      <w:r>
        <w:rPr>
          <w:rFonts w:hint="eastAsia" w:ascii="仿宋_GB2312" w:hAnsi="宋体" w:eastAsia="仿宋_GB2312" w:cs="宋体"/>
          <w:kern w:val="0"/>
          <w:sz w:val="32"/>
          <w:szCs w:val="32"/>
        </w:rPr>
        <w:t>3</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，比上年预算增加0万元，增长0%，主要原因是：与上年预算相比无变化。</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六、关于哈密市伊州区发展和改革委员会2021年一般公共预算基本支出情况说明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哈密市伊州区发展和改革委员会2021年一般公共预算基本支出504.93万元，其中：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482.66万元，主要包括：基本工资103.70万元、津贴补贴83.34万元、奖金12.46万元、机关事业单位基本养老保险缴费38.51万元、职工基本医疗保险缴费37.49万元、其他社会保障缴费2.37万元、住房公积金27.51万元、其他工资福利支出160.17万元、其他对个人和家庭的补助17.11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公用经费22.26万元，主要包括：办公费10万元、邮电费1.8万元、差旅费1万元、因公出国（境）费0万元、公务接待费0万元、工会经费2.45万元、福利费2.21万元、公务用车运行维护费4.8万元。</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七、关于哈密市伊州区发展和改革委员会2021年项目支出情况说明</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1.项目</w:t>
      </w:r>
      <w:r>
        <w:rPr>
          <w:rFonts w:ascii="仿宋_GB2312" w:hAnsi="黑体" w:eastAsia="仿宋_GB2312"/>
          <w:sz w:val="32"/>
          <w:szCs w:val="32"/>
        </w:rPr>
        <w:t>名称</w:t>
      </w:r>
      <w:r>
        <w:rPr>
          <w:rFonts w:hint="eastAsia" w:ascii="仿宋_GB2312" w:hAnsi="黑体" w:eastAsia="仿宋_GB2312"/>
          <w:sz w:val="32"/>
          <w:szCs w:val="32"/>
        </w:rPr>
        <w:t>：5000吨县级储备粮贷款利息及保管费</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：《关于哈密市市级储备粮管理轮换贷款利息等支出费用列入财政预算的报告》的批复（哈市人常发[2009]12号）</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100万元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哈密市粮油收储有限责任公司</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费用补贴57万元、利息补贴43万元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2021年1月1日至2021年12月31日</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2.项目名称：农产品成本调查经费</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设立依据政策：新财建【2019】492号和哈市财建【2020】5号文件</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预算安排规模：5万元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：哈密市伊州区发展和改革委员会</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资金分配情况：调查户务工补助2万，车辆运行费2万元、办公费1万元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资金执行时间：2021年1月1日至2021年12月31日</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3.项目名称：煤炭安全生产工作经费</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设立依据政策：加强伊州区煤炭及能源行业安全生产监督检查工作支持开展</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预算安排规模：3万元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：哈密市伊州区发展和改革委员会</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资金分配情况：车辆维修费2万元、燃油费1万元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资金执行时间：2021年1月1日至2021年12月31日</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八、关于哈密市伊州区发展和改革委员会2020年一般公共预算“三公”经费预算情况说明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哈密市伊州区发展和改革委员会2021年“三公”经费财政拨款预算数为4.8</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万元，其中：因公出国（境）费0万元，公务用车购置0万元，公务用车运行费4.8</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万元，公务接待费0万元。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三公”经费财政拨款预算比上年预算数增加0.35万元，其中：因公出国（境）费0万元，主要原因是未安排预算；公务用车购置费为0万元，未安排预算；公务用车运行费增加0.35万元，主要原因是近两年增加了对煤炭行业安全生产检查管理，因此将增加车辆运行支出；公务接待费增加0万元，主要原因是近年来本单位未发生公务接待事宜，因此未安排资金支出预算。</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九、关于哈密市伊州区发展和改革委员会2021年政府性基金预算拨款情况说明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哈密市伊州区发展和改革委员会2021年没有使用政府性基金预算拨款安排的支出，政府性基金预算支出情况表为空表。</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spacing w:line="560" w:lineRule="exact"/>
        <w:ind w:firstLine="640" w:firstLineChars="200"/>
        <w:rPr>
          <w:rFonts w:ascii="仿宋_GB2312" w:hAnsi="宋体" w:eastAsia="仿宋_GB2312" w:cs="宋体"/>
          <w:color w:val="FF0000"/>
          <w:kern w:val="0"/>
          <w:sz w:val="32"/>
          <w:szCs w:val="32"/>
        </w:rPr>
      </w:pPr>
      <w:r>
        <w:rPr>
          <w:rFonts w:hint="eastAsia" w:ascii="仿宋_GB2312" w:hAnsi="宋体" w:eastAsia="仿宋_GB2312" w:cs="宋体"/>
          <w:kern w:val="0"/>
          <w:sz w:val="32"/>
          <w:szCs w:val="32"/>
        </w:rPr>
        <w:t>2021年，哈密市伊州区发展和改革委员会部门的机关运行经费财政拨款预算22.26万元，比上年预算减少1.18万元，下降5.03%。主要原因是单位遵守厉行节约原则，人均办公经费减少。</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2021年，哈密市伊州区发展和改革委员会政府采购预算5.6</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万元，其中：政府采购货物预算4万元，政府采购工程预算0万元，政府采购服务预算1.6</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2021年度本部门面向中小企业预留政府采购项目预算金额0万元，其中：面向小微企业预留政府采购项目预算金额0万元。</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截至2020年底，哈密市伊州区发展和改革委员会占用使用国有资产总体情况为：</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1.房屋40平方米，价值2.2</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2.车辆5辆，价值91.85万元；其中：一般公务用车0辆，价值0万元；执法执勤用车0辆，价值0万元；其他车辆5辆，价值91.85万元。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3.办公家具价值33.17万元。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4.其他资产价值98.40万元。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2021年部门预算未安排购置车辆经费，安排购置50万元以上大型设备0台（套），单位价值100万元以上大型设备0台（套）。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2021年度，本年度实行绩效管理的一般公共预算项目3个，涉及预算金额108万元。具体情况见下表（按项目分别填报）：</w:t>
      </w:r>
    </w:p>
    <w:p>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5"/>
        <w:tblW w:w="8539" w:type="dxa"/>
        <w:tblInd w:w="0" w:type="dxa"/>
        <w:tblLayout w:type="fixed"/>
        <w:tblCellMar>
          <w:top w:w="0" w:type="dxa"/>
          <w:left w:w="108" w:type="dxa"/>
          <w:bottom w:w="0" w:type="dxa"/>
          <w:right w:w="108" w:type="dxa"/>
        </w:tblCellMar>
      </w:tblPr>
      <w:tblGrid>
        <w:gridCol w:w="1301"/>
        <w:gridCol w:w="1096"/>
        <w:gridCol w:w="979"/>
        <w:gridCol w:w="272"/>
        <w:gridCol w:w="675"/>
        <w:gridCol w:w="225"/>
        <w:gridCol w:w="231"/>
        <w:gridCol w:w="1139"/>
        <w:gridCol w:w="227"/>
        <w:gridCol w:w="656"/>
        <w:gridCol w:w="1274"/>
        <w:gridCol w:w="225"/>
        <w:gridCol w:w="239"/>
      </w:tblGrid>
      <w:tr>
        <w:tblPrEx>
          <w:tblCellMar>
            <w:top w:w="0" w:type="dxa"/>
            <w:left w:w="108" w:type="dxa"/>
            <w:bottom w:w="0" w:type="dxa"/>
            <w:right w:w="108" w:type="dxa"/>
          </w:tblCellMar>
        </w:tblPrEx>
        <w:trPr>
          <w:trHeight w:val="907" w:hRule="atLeast"/>
        </w:trPr>
        <w:tc>
          <w:tcPr>
            <w:tcW w:w="8539" w:type="dxa"/>
            <w:gridSpan w:val="13"/>
            <w:tcBorders>
              <w:top w:val="nil"/>
              <w:left w:val="nil"/>
              <w:bottom w:val="nil"/>
              <w:right w:val="nil"/>
            </w:tcBorders>
            <w:shd w:val="clear" w:color="auto" w:fill="auto"/>
            <w:vAlign w:val="bottom"/>
          </w:tcPr>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blPrEx>
          <w:tblCellMar>
            <w:top w:w="0" w:type="dxa"/>
            <w:left w:w="108" w:type="dxa"/>
            <w:bottom w:w="0" w:type="dxa"/>
            <w:right w:w="108" w:type="dxa"/>
          </w:tblCellMar>
        </w:tblPrEx>
        <w:trPr>
          <w:trHeight w:val="453" w:hRule="atLeast"/>
        </w:trPr>
        <w:tc>
          <w:tcPr>
            <w:tcW w:w="1301" w:type="dxa"/>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c>
          <w:tcPr>
            <w:tcW w:w="1096" w:type="dxa"/>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c>
          <w:tcPr>
            <w:tcW w:w="979" w:type="dxa"/>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c>
          <w:tcPr>
            <w:tcW w:w="947" w:type="dxa"/>
            <w:gridSpan w:val="2"/>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c>
          <w:tcPr>
            <w:tcW w:w="225" w:type="dxa"/>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c>
          <w:tcPr>
            <w:tcW w:w="231" w:type="dxa"/>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c>
          <w:tcPr>
            <w:tcW w:w="1139" w:type="dxa"/>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c>
          <w:tcPr>
            <w:tcW w:w="227" w:type="dxa"/>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c>
          <w:tcPr>
            <w:tcW w:w="1930" w:type="dxa"/>
            <w:gridSpan w:val="2"/>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c>
          <w:tcPr>
            <w:tcW w:w="225" w:type="dxa"/>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c>
          <w:tcPr>
            <w:tcW w:w="239" w:type="dxa"/>
            <w:tcBorders>
              <w:top w:val="nil"/>
              <w:left w:val="nil"/>
              <w:bottom w:val="nil"/>
              <w:right w:val="nil"/>
            </w:tcBorders>
            <w:shd w:val="clear" w:color="auto" w:fill="auto"/>
            <w:vAlign w:val="bottom"/>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932" w:hRule="atLeast"/>
        </w:trPr>
        <w:tc>
          <w:tcPr>
            <w:tcW w:w="13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347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哈密市伊州区发展和改革委员会</w:t>
            </w:r>
          </w:p>
        </w:tc>
        <w:tc>
          <w:tcPr>
            <w:tcW w:w="113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262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仿宋_GB2312" w:hAnsi="宋体" w:eastAsia="仿宋_GB2312" w:cs="宋体"/>
                <w:kern w:val="0"/>
                <w:sz w:val="20"/>
                <w:szCs w:val="20"/>
              </w:rPr>
              <w:t>5000吨县级储备粮贷款利息及保管费</w:t>
            </w:r>
          </w:p>
        </w:tc>
      </w:tr>
      <w:tr>
        <w:tblPrEx>
          <w:tblCellMar>
            <w:top w:w="0" w:type="dxa"/>
            <w:left w:w="108" w:type="dxa"/>
            <w:bottom w:w="0" w:type="dxa"/>
            <w:right w:w="108" w:type="dxa"/>
          </w:tblCellMar>
        </w:tblPrEx>
        <w:trPr>
          <w:trHeight w:val="932" w:hRule="atLeast"/>
        </w:trPr>
        <w:tc>
          <w:tcPr>
            <w:tcW w:w="13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1251" w:type="dxa"/>
            <w:gridSpan w:val="2"/>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10</w:t>
            </w:r>
            <w:r>
              <w:rPr>
                <w:rFonts w:hint="eastAsia" w:ascii="宋体" w:hAnsi="宋体" w:cs="宋体"/>
                <w:kern w:val="0"/>
                <w:sz w:val="18"/>
                <w:szCs w:val="18"/>
                <w:lang w:val="en-US" w:eastAsia="zh-CN"/>
              </w:rPr>
              <w:t>0.00</w:t>
            </w:r>
          </w:p>
        </w:tc>
        <w:tc>
          <w:tcPr>
            <w:tcW w:w="1131"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rPr>
              <w:t>100</w:t>
            </w:r>
            <w:r>
              <w:rPr>
                <w:rFonts w:hint="eastAsia" w:ascii="宋体" w:hAnsi="宋体" w:cs="宋体"/>
                <w:kern w:val="0"/>
                <w:sz w:val="18"/>
                <w:szCs w:val="18"/>
                <w:lang w:val="en-US" w:eastAsia="zh-CN"/>
              </w:rPr>
              <w:t>.00</w:t>
            </w:r>
          </w:p>
        </w:tc>
        <w:tc>
          <w:tcPr>
            <w:tcW w:w="8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73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0.00</w:t>
            </w:r>
          </w:p>
        </w:tc>
      </w:tr>
      <w:tr>
        <w:tblPrEx>
          <w:tblCellMar>
            <w:top w:w="0" w:type="dxa"/>
            <w:left w:w="108" w:type="dxa"/>
            <w:bottom w:w="0" w:type="dxa"/>
            <w:right w:w="108" w:type="dxa"/>
          </w:tblCellMar>
        </w:tblPrEx>
        <w:trPr>
          <w:trHeight w:val="932" w:hRule="atLeast"/>
        </w:trPr>
        <w:tc>
          <w:tcPr>
            <w:tcW w:w="13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238" w:type="dxa"/>
            <w:gridSpan w:val="12"/>
            <w:tcBorders>
              <w:top w:val="nil"/>
              <w:left w:val="nil"/>
              <w:bottom w:val="single" w:color="000000"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1、确保本年度储备粮安全储备足额储备、质量合格；2、及时支付银行利息，提升企业信用</w:t>
            </w:r>
          </w:p>
        </w:tc>
      </w:tr>
      <w:tr>
        <w:tblPrEx>
          <w:tblCellMar>
            <w:top w:w="0" w:type="dxa"/>
            <w:left w:w="108" w:type="dxa"/>
            <w:bottom w:w="0" w:type="dxa"/>
            <w:right w:w="108" w:type="dxa"/>
          </w:tblCellMar>
        </w:tblPrEx>
        <w:trPr>
          <w:trHeight w:val="932" w:hRule="atLeast"/>
        </w:trPr>
        <w:tc>
          <w:tcPr>
            <w:tcW w:w="1301"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9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blPrEx>
          <w:tblCellMar>
            <w:top w:w="0" w:type="dxa"/>
            <w:left w:w="108" w:type="dxa"/>
            <w:bottom w:w="0" w:type="dxa"/>
            <w:right w:w="108" w:type="dxa"/>
          </w:tblCellMar>
        </w:tblPrEx>
        <w:trPr>
          <w:trHeight w:val="478" w:hRule="atLeast"/>
        </w:trPr>
        <w:tc>
          <w:tcPr>
            <w:tcW w:w="130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09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储备粮年贷款利息补贴</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43万元</w:t>
            </w:r>
          </w:p>
        </w:tc>
      </w:tr>
      <w:tr>
        <w:tblPrEx>
          <w:tblCellMar>
            <w:top w:w="0" w:type="dxa"/>
            <w:left w:w="108" w:type="dxa"/>
            <w:bottom w:w="0" w:type="dxa"/>
            <w:right w:w="108" w:type="dxa"/>
          </w:tblCellMar>
        </w:tblPrEx>
        <w:trPr>
          <w:trHeight w:val="478" w:hRule="atLeast"/>
        </w:trPr>
        <w:tc>
          <w:tcPr>
            <w:tcW w:w="1301"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1096"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储备粮年费用补贴</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57万元</w:t>
            </w:r>
          </w:p>
        </w:tc>
      </w:tr>
      <w:tr>
        <w:tblPrEx>
          <w:tblCellMar>
            <w:top w:w="0" w:type="dxa"/>
            <w:left w:w="108" w:type="dxa"/>
            <w:bottom w:w="0" w:type="dxa"/>
            <w:right w:w="108" w:type="dxa"/>
          </w:tblCellMar>
        </w:tblPrEx>
        <w:trPr>
          <w:trHeight w:val="478" w:hRule="atLeast"/>
        </w:trPr>
        <w:tc>
          <w:tcPr>
            <w:tcW w:w="1301"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109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项目开始时间</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2021年1月1日</w:t>
            </w:r>
          </w:p>
        </w:tc>
      </w:tr>
      <w:tr>
        <w:tblPrEx>
          <w:tblCellMar>
            <w:top w:w="0" w:type="dxa"/>
            <w:left w:w="108" w:type="dxa"/>
            <w:bottom w:w="0" w:type="dxa"/>
            <w:right w:w="108" w:type="dxa"/>
          </w:tblCellMar>
        </w:tblPrEx>
        <w:trPr>
          <w:trHeight w:val="478" w:hRule="atLeast"/>
        </w:trPr>
        <w:tc>
          <w:tcPr>
            <w:tcW w:w="1301"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1096"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项目结束时间</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2021年12月31日</w:t>
            </w:r>
          </w:p>
        </w:tc>
      </w:tr>
      <w:tr>
        <w:tblPrEx>
          <w:tblCellMar>
            <w:top w:w="0" w:type="dxa"/>
            <w:left w:w="108" w:type="dxa"/>
            <w:bottom w:w="0" w:type="dxa"/>
            <w:right w:w="108" w:type="dxa"/>
          </w:tblCellMar>
        </w:tblPrEx>
        <w:trPr>
          <w:trHeight w:val="478" w:hRule="atLeast"/>
        </w:trPr>
        <w:tc>
          <w:tcPr>
            <w:tcW w:w="1301"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109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储备粮数量</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5000吨</w:t>
            </w:r>
          </w:p>
        </w:tc>
      </w:tr>
      <w:tr>
        <w:tblPrEx>
          <w:tblCellMar>
            <w:top w:w="0" w:type="dxa"/>
            <w:left w:w="108" w:type="dxa"/>
            <w:bottom w:w="0" w:type="dxa"/>
            <w:right w:w="108" w:type="dxa"/>
          </w:tblCellMar>
        </w:tblPrEx>
        <w:trPr>
          <w:trHeight w:val="478" w:hRule="atLeast"/>
        </w:trPr>
        <w:tc>
          <w:tcPr>
            <w:tcW w:w="1301"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1096"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储备粮储备时间</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5年</w:t>
            </w:r>
          </w:p>
        </w:tc>
      </w:tr>
      <w:tr>
        <w:tblPrEx>
          <w:tblCellMar>
            <w:top w:w="0" w:type="dxa"/>
            <w:left w:w="108" w:type="dxa"/>
            <w:bottom w:w="0" w:type="dxa"/>
            <w:right w:w="108" w:type="dxa"/>
          </w:tblCellMar>
        </w:tblPrEx>
        <w:trPr>
          <w:trHeight w:val="478" w:hRule="atLeast"/>
        </w:trPr>
        <w:tc>
          <w:tcPr>
            <w:tcW w:w="1301"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109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储备粮质量标准</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r>
      <w:tr>
        <w:tblPrEx>
          <w:tblCellMar>
            <w:top w:w="0" w:type="dxa"/>
            <w:left w:w="108" w:type="dxa"/>
            <w:bottom w:w="0" w:type="dxa"/>
            <w:right w:w="108" w:type="dxa"/>
          </w:tblCellMar>
        </w:tblPrEx>
        <w:trPr>
          <w:trHeight w:val="478" w:hRule="atLeast"/>
        </w:trPr>
        <w:tc>
          <w:tcPr>
            <w:tcW w:w="1301"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1096"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资金到位率</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r>
      <w:tr>
        <w:tblPrEx>
          <w:tblCellMar>
            <w:top w:w="0" w:type="dxa"/>
            <w:left w:w="108" w:type="dxa"/>
            <w:bottom w:w="0" w:type="dxa"/>
            <w:right w:w="108" w:type="dxa"/>
          </w:tblCellMar>
        </w:tblPrEx>
        <w:trPr>
          <w:trHeight w:val="932" w:hRule="atLeast"/>
        </w:trPr>
        <w:tc>
          <w:tcPr>
            <w:tcW w:w="130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09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稳定区域内粮食市场价格</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促进平稳</w:t>
            </w:r>
          </w:p>
        </w:tc>
      </w:tr>
      <w:tr>
        <w:tblPrEx>
          <w:tblCellMar>
            <w:top w:w="0" w:type="dxa"/>
            <w:left w:w="108" w:type="dxa"/>
            <w:bottom w:w="0" w:type="dxa"/>
            <w:right w:w="108" w:type="dxa"/>
          </w:tblCellMar>
        </w:tblPrEx>
        <w:trPr>
          <w:trHeight w:val="932" w:hRule="atLeast"/>
        </w:trPr>
        <w:tc>
          <w:tcPr>
            <w:tcW w:w="1301"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109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可持续影响指标</w:t>
            </w: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可影响年限</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5年</w:t>
            </w:r>
          </w:p>
        </w:tc>
      </w:tr>
      <w:tr>
        <w:tblPrEx>
          <w:tblCellMar>
            <w:top w:w="0" w:type="dxa"/>
            <w:left w:w="108" w:type="dxa"/>
            <w:bottom w:w="0" w:type="dxa"/>
            <w:right w:w="108" w:type="dxa"/>
          </w:tblCellMar>
        </w:tblPrEx>
        <w:trPr>
          <w:trHeight w:val="932" w:hRule="atLeast"/>
        </w:trPr>
        <w:tc>
          <w:tcPr>
            <w:tcW w:w="1301"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109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保障区域内粮食安全</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发挥积极作用</w:t>
            </w:r>
          </w:p>
        </w:tc>
      </w:tr>
      <w:tr>
        <w:tblPrEx>
          <w:tblCellMar>
            <w:top w:w="0" w:type="dxa"/>
            <w:left w:w="108" w:type="dxa"/>
            <w:bottom w:w="0" w:type="dxa"/>
            <w:right w:w="108" w:type="dxa"/>
          </w:tblCellMar>
        </w:tblPrEx>
        <w:trPr>
          <w:trHeight w:val="478" w:hRule="atLeast"/>
        </w:trPr>
        <w:tc>
          <w:tcPr>
            <w:tcW w:w="1301"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9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承储企业满意度</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w:t>
            </w:r>
          </w:p>
        </w:tc>
      </w:tr>
      <w:tr>
        <w:tblPrEx>
          <w:tblCellMar>
            <w:top w:w="0" w:type="dxa"/>
            <w:left w:w="108" w:type="dxa"/>
            <w:bottom w:w="0" w:type="dxa"/>
            <w:right w:w="108" w:type="dxa"/>
          </w:tblCellMar>
        </w:tblPrEx>
        <w:trPr>
          <w:trHeight w:val="503" w:hRule="atLeast"/>
        </w:trPr>
        <w:tc>
          <w:tcPr>
            <w:tcW w:w="1301"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1096"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p>
        </w:tc>
        <w:tc>
          <w:tcPr>
            <w:tcW w:w="374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xml:space="preserve">             服务区域内居民满意度</w:t>
            </w:r>
          </w:p>
        </w:tc>
        <w:tc>
          <w:tcPr>
            <w:tcW w:w="2394" w:type="dxa"/>
            <w:gridSpan w:val="4"/>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95%</w:t>
            </w:r>
          </w:p>
        </w:tc>
      </w:tr>
    </w:tbl>
    <w:p>
      <w:pPr>
        <w:widowControl/>
        <w:spacing w:line="560" w:lineRule="exact"/>
        <w:jc w:val="left"/>
        <w:rPr>
          <w:rFonts w:ascii="楷体_GB2312" w:hAnsi="宋体" w:eastAsia="楷体_GB2312" w:cs="宋体"/>
          <w:b/>
          <w:kern w:val="0"/>
          <w:sz w:val="32"/>
          <w:szCs w:val="32"/>
        </w:rPr>
        <w:sectPr>
          <w:pgSz w:w="11906" w:h="16838"/>
          <w:pgMar w:top="1440" w:right="1800" w:bottom="1440" w:left="1800" w:header="851" w:footer="992" w:gutter="0"/>
          <w:pgNumType w:fmt="numberInDash" w:start="32"/>
          <w:cols w:space="425" w:num="1"/>
          <w:docGrid w:type="lines" w:linePitch="312" w:charSpace="0"/>
        </w:sectPr>
      </w:pPr>
    </w:p>
    <w:tbl>
      <w:tblPr>
        <w:tblStyle w:val="5"/>
        <w:tblW w:w="9109" w:type="dxa"/>
        <w:tblInd w:w="0" w:type="dxa"/>
        <w:tblLayout w:type="fixed"/>
        <w:tblCellMar>
          <w:top w:w="0" w:type="dxa"/>
          <w:left w:w="0" w:type="dxa"/>
          <w:bottom w:w="0" w:type="dxa"/>
          <w:right w:w="0" w:type="dxa"/>
        </w:tblCellMar>
      </w:tblPr>
      <w:tblGrid>
        <w:gridCol w:w="985"/>
        <w:gridCol w:w="1178"/>
        <w:gridCol w:w="1927"/>
        <w:gridCol w:w="2797"/>
        <w:gridCol w:w="2222"/>
      </w:tblGrid>
      <w:tr>
        <w:tblPrEx>
          <w:tblCellMar>
            <w:top w:w="0" w:type="dxa"/>
            <w:left w:w="0" w:type="dxa"/>
            <w:bottom w:w="0" w:type="dxa"/>
            <w:right w:w="0" w:type="dxa"/>
          </w:tblCellMar>
        </w:tblPrEx>
        <w:trPr>
          <w:trHeight w:val="549" w:hRule="atLeast"/>
        </w:trPr>
        <w:tc>
          <w:tcPr>
            <w:tcW w:w="9109" w:type="dxa"/>
            <w:gridSpan w:val="5"/>
            <w:tcBorders>
              <w:top w:val="nil"/>
              <w:left w:val="nil"/>
              <w:bottom w:val="nil"/>
              <w:right w:val="nil"/>
            </w:tcBorders>
            <w:shd w:val="clear" w:color="auto" w:fill="auto"/>
            <w:tcMar>
              <w:top w:w="12" w:type="dxa"/>
              <w:left w:w="12" w:type="dxa"/>
              <w:right w:w="12" w:type="dxa"/>
            </w:tcMar>
            <w:vAlign w:val="center"/>
          </w:tcPr>
          <w:p>
            <w:pPr>
              <w:widowControl/>
              <w:jc w:val="center"/>
              <w:textAlignment w:val="center"/>
              <w:rPr>
                <w:rFonts w:ascii="Arial" w:hAnsi="Arial" w:cs="Arial"/>
                <w:color w:val="000000"/>
                <w:sz w:val="20"/>
                <w:szCs w:val="20"/>
              </w:rPr>
            </w:pPr>
            <w:r>
              <w:rPr>
                <w:rFonts w:hint="eastAsia" w:ascii="仿宋_GB2312" w:hAnsi="宋体" w:eastAsia="仿宋_GB2312"/>
                <w:b/>
                <w:kern w:val="0"/>
                <w:sz w:val="32"/>
                <w:szCs w:val="32"/>
              </w:rPr>
              <w:t>项  目  支  出  绩  效  目  标  表</w:t>
            </w:r>
          </w:p>
        </w:tc>
      </w:tr>
      <w:tr>
        <w:tblPrEx>
          <w:tblCellMar>
            <w:top w:w="0" w:type="dxa"/>
            <w:left w:w="0" w:type="dxa"/>
            <w:bottom w:w="0" w:type="dxa"/>
            <w:right w:w="0" w:type="dxa"/>
          </w:tblCellMar>
        </w:tblPrEx>
        <w:trPr>
          <w:trHeight w:val="371" w:hRule="atLeast"/>
        </w:trPr>
        <w:tc>
          <w:tcPr>
            <w:tcW w:w="9109" w:type="dxa"/>
            <w:gridSpan w:val="5"/>
            <w:tcBorders>
              <w:top w:val="nil"/>
              <w:left w:val="nil"/>
              <w:bottom w:val="nil"/>
              <w:right w:val="nil"/>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 2021 年）</w:t>
            </w:r>
          </w:p>
        </w:tc>
      </w:tr>
      <w:tr>
        <w:tblPrEx>
          <w:tblCellMar>
            <w:top w:w="0" w:type="dxa"/>
            <w:left w:w="0" w:type="dxa"/>
            <w:bottom w:w="0" w:type="dxa"/>
            <w:right w:w="0" w:type="dxa"/>
          </w:tblCellMar>
        </w:tblPrEx>
        <w:trPr>
          <w:trHeight w:val="500" w:hRule="atLeast"/>
        </w:trPr>
        <w:tc>
          <w:tcPr>
            <w:tcW w:w="9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项目名称</w:t>
            </w:r>
          </w:p>
        </w:tc>
        <w:tc>
          <w:tcPr>
            <w:tcW w:w="812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t>煤炭安全生产工作经费</w:t>
            </w:r>
          </w:p>
        </w:tc>
      </w:tr>
      <w:tr>
        <w:tblPrEx>
          <w:tblCellMar>
            <w:top w:w="0" w:type="dxa"/>
            <w:left w:w="0" w:type="dxa"/>
            <w:bottom w:w="0" w:type="dxa"/>
            <w:right w:w="0" w:type="dxa"/>
          </w:tblCellMar>
        </w:tblPrEx>
        <w:trPr>
          <w:trHeight w:val="500" w:hRule="atLeast"/>
        </w:trPr>
        <w:tc>
          <w:tcPr>
            <w:tcW w:w="9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预算单位</w:t>
            </w:r>
          </w:p>
        </w:tc>
        <w:tc>
          <w:tcPr>
            <w:tcW w:w="812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t>哈密市伊州区发展和改革委员会</w:t>
            </w:r>
          </w:p>
        </w:tc>
      </w:tr>
      <w:tr>
        <w:tblPrEx>
          <w:tblCellMar>
            <w:top w:w="0" w:type="dxa"/>
            <w:left w:w="0" w:type="dxa"/>
            <w:bottom w:w="0" w:type="dxa"/>
            <w:right w:w="0" w:type="dxa"/>
          </w:tblCellMar>
        </w:tblPrEx>
        <w:trPr>
          <w:trHeight w:val="524" w:hRule="atLeast"/>
        </w:trPr>
        <w:tc>
          <w:tcPr>
            <w:tcW w:w="9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项目资金</w:t>
            </w:r>
          </w:p>
        </w:tc>
        <w:tc>
          <w:tcPr>
            <w:tcW w:w="812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年度资金总额：3</w:t>
            </w:r>
            <w:r>
              <w:rPr>
                <w:rFonts w:hint="eastAsia" w:ascii="宋体" w:hAnsi="宋体" w:cs="宋体"/>
                <w:color w:val="000000"/>
                <w:kern w:val="0"/>
                <w:sz w:val="20"/>
                <w:szCs w:val="20"/>
                <w:lang w:val="en-US" w:eastAsia="zh-CN"/>
              </w:rPr>
              <w:t>.00</w:t>
            </w:r>
            <w:r>
              <w:rPr>
                <w:rFonts w:hint="eastAsia" w:ascii="宋体" w:hAnsi="宋体" w:cs="宋体"/>
                <w:color w:val="000000"/>
                <w:kern w:val="0"/>
                <w:sz w:val="20"/>
                <w:szCs w:val="20"/>
              </w:rPr>
              <w:t>万元</w:t>
            </w:r>
          </w:p>
        </w:tc>
      </w:tr>
      <w:tr>
        <w:tblPrEx>
          <w:tblCellMar>
            <w:top w:w="0" w:type="dxa"/>
            <w:left w:w="0" w:type="dxa"/>
            <w:bottom w:w="0" w:type="dxa"/>
            <w:right w:w="0" w:type="dxa"/>
          </w:tblCellMar>
        </w:tblPrEx>
        <w:trPr>
          <w:trHeight w:val="438" w:hRule="atLeast"/>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812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 xml:space="preserve">       其中：财政拨款：3</w:t>
            </w:r>
            <w:r>
              <w:rPr>
                <w:rFonts w:hint="eastAsia" w:ascii="宋体" w:hAnsi="宋体" w:cs="宋体"/>
                <w:color w:val="000000"/>
                <w:kern w:val="0"/>
                <w:sz w:val="20"/>
                <w:szCs w:val="20"/>
                <w:lang w:val="en-US" w:eastAsia="zh-CN"/>
              </w:rPr>
              <w:t>.00</w:t>
            </w:r>
            <w:r>
              <w:rPr>
                <w:rFonts w:hint="eastAsia" w:ascii="宋体" w:hAnsi="宋体" w:cs="宋体"/>
                <w:color w:val="000000"/>
                <w:kern w:val="0"/>
                <w:sz w:val="20"/>
                <w:szCs w:val="20"/>
              </w:rPr>
              <w:t>万元</w:t>
            </w:r>
          </w:p>
        </w:tc>
      </w:tr>
      <w:tr>
        <w:tblPrEx>
          <w:tblCellMar>
            <w:top w:w="0" w:type="dxa"/>
            <w:left w:w="0" w:type="dxa"/>
            <w:bottom w:w="0" w:type="dxa"/>
            <w:right w:w="0" w:type="dxa"/>
          </w:tblCellMar>
        </w:tblPrEx>
        <w:trPr>
          <w:trHeight w:val="438" w:hRule="atLeast"/>
        </w:trPr>
        <w:tc>
          <w:tcPr>
            <w:tcW w:w="985" w:type="dxa"/>
            <w:vMerge w:val="continue"/>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812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rPr>
              <w:t xml:space="preserve">            其他资金：</w:t>
            </w:r>
            <w:r>
              <w:rPr>
                <w:rFonts w:hint="eastAsia" w:ascii="宋体" w:hAnsi="宋体" w:cs="宋体"/>
                <w:color w:val="000000"/>
                <w:kern w:val="0"/>
                <w:sz w:val="20"/>
                <w:szCs w:val="20"/>
                <w:lang w:val="en-US" w:eastAsia="zh-CN"/>
              </w:rPr>
              <w:t>0.00</w:t>
            </w:r>
          </w:p>
        </w:tc>
      </w:tr>
      <w:tr>
        <w:tblPrEx>
          <w:tblCellMar>
            <w:top w:w="0" w:type="dxa"/>
            <w:left w:w="0" w:type="dxa"/>
            <w:bottom w:w="0" w:type="dxa"/>
            <w:right w:w="0" w:type="dxa"/>
          </w:tblCellMar>
        </w:tblPrEx>
        <w:trPr>
          <w:trHeight w:val="438" w:hRule="atLeast"/>
        </w:trPr>
        <w:tc>
          <w:tcPr>
            <w:tcW w:w="985"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总体目标</w:t>
            </w:r>
          </w:p>
        </w:tc>
        <w:tc>
          <w:tcPr>
            <w:tcW w:w="8124"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年度绩效目标</w:t>
            </w:r>
          </w:p>
        </w:tc>
      </w:tr>
      <w:tr>
        <w:tblPrEx>
          <w:tblCellMar>
            <w:top w:w="0" w:type="dxa"/>
            <w:left w:w="0" w:type="dxa"/>
            <w:bottom w:w="0" w:type="dxa"/>
            <w:right w:w="0" w:type="dxa"/>
          </w:tblCellMar>
        </w:tblPrEx>
        <w:trPr>
          <w:trHeight w:val="991"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8124"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楷体_GB2312" w:hAnsi="Arial" w:eastAsia="楷体_GB2312" w:cs="楷体_GB2312"/>
                <w:color w:val="000000"/>
                <w:sz w:val="20"/>
                <w:szCs w:val="20"/>
              </w:rPr>
            </w:pPr>
            <w:r>
              <w:rPr>
                <w:rFonts w:ascii="宋体" w:hAnsi="宋体" w:cs="宋体"/>
                <w:color w:val="000000"/>
                <w:kern w:val="0"/>
                <w:sz w:val="20"/>
                <w:szCs w:val="20"/>
              </w:rPr>
              <w:t>为组织制定伊州区煤炭工业发展规划及实行行业管理；对行政区域内煤矿实施安全监督管理工作，组织实施行政区域内煤矿安全生产专项整治，监督指导煤矿企业安全基础管理工作。</w:t>
            </w:r>
          </w:p>
        </w:tc>
      </w:tr>
      <w:tr>
        <w:tblPrEx>
          <w:tblCellMar>
            <w:top w:w="0" w:type="dxa"/>
            <w:left w:w="0" w:type="dxa"/>
            <w:bottom w:w="0" w:type="dxa"/>
            <w:right w:w="0" w:type="dxa"/>
          </w:tblCellMar>
        </w:tblPrEx>
        <w:trPr>
          <w:trHeight w:val="597" w:hRule="atLeast"/>
        </w:trPr>
        <w:tc>
          <w:tcPr>
            <w:tcW w:w="985"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1178"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一级目标</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二级目标</w:t>
            </w: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三级目标</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指标值（包含数字及文字描述）</w:t>
            </w:r>
          </w:p>
        </w:tc>
      </w:tr>
      <w:tr>
        <w:tblPrEx>
          <w:tblCellMar>
            <w:top w:w="0" w:type="dxa"/>
            <w:left w:w="0" w:type="dxa"/>
            <w:bottom w:w="0" w:type="dxa"/>
            <w:right w:w="0" w:type="dxa"/>
          </w:tblCellMar>
        </w:tblPrEx>
        <w:trPr>
          <w:trHeight w:val="597" w:hRule="atLeast"/>
        </w:trPr>
        <w:tc>
          <w:tcPr>
            <w:tcW w:w="985"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绩效</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w:t>
            </w:r>
          </w:p>
        </w:tc>
        <w:tc>
          <w:tcPr>
            <w:tcW w:w="1178"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92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检查煤炭企业数量</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≥7家</w:t>
            </w:r>
          </w:p>
        </w:tc>
      </w:tr>
      <w:tr>
        <w:tblPrEx>
          <w:tblCellMar>
            <w:top w:w="0" w:type="dxa"/>
            <w:left w:w="0" w:type="dxa"/>
            <w:bottom w:w="0" w:type="dxa"/>
            <w:right w:w="0" w:type="dxa"/>
          </w:tblCellMar>
        </w:tblPrEx>
        <w:trPr>
          <w:trHeight w:val="597"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安全检查工作所需人员</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≥10人</w:t>
            </w:r>
          </w:p>
        </w:tc>
      </w:tr>
      <w:tr>
        <w:tblPrEx>
          <w:tblCellMar>
            <w:top w:w="0" w:type="dxa"/>
            <w:left w:w="0" w:type="dxa"/>
            <w:bottom w:w="0" w:type="dxa"/>
            <w:right w:w="0" w:type="dxa"/>
          </w:tblCellMar>
        </w:tblPrEx>
        <w:trPr>
          <w:trHeight w:val="597"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安全检查工作所需车辆</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≥3辆</w:t>
            </w:r>
          </w:p>
        </w:tc>
      </w:tr>
      <w:tr>
        <w:tblPrEx>
          <w:tblCellMar>
            <w:top w:w="0" w:type="dxa"/>
            <w:left w:w="0" w:type="dxa"/>
            <w:bottom w:w="0" w:type="dxa"/>
            <w:right w:w="0" w:type="dxa"/>
          </w:tblCellMar>
        </w:tblPrEx>
        <w:trPr>
          <w:trHeight w:val="597"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煤炭行业安全检查覆盖率</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597"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2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安全生产检查工作开始时间</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sz w:val="20"/>
                <w:szCs w:val="20"/>
                <w:lang w:val="en-US" w:eastAsia="zh-CN"/>
              </w:rPr>
            </w:pPr>
            <w:r>
              <w:rPr>
                <w:rFonts w:hint="eastAsia" w:ascii="宋体" w:hAnsi="宋体" w:cs="宋体"/>
                <w:color w:val="000000"/>
                <w:kern w:val="0"/>
                <w:sz w:val="20"/>
                <w:szCs w:val="20"/>
              </w:rPr>
              <w:t>2021</w:t>
            </w:r>
            <w:r>
              <w:rPr>
                <w:rFonts w:hint="eastAsia" w:ascii="宋体" w:hAnsi="宋体" w:cs="宋体"/>
                <w:color w:val="000000"/>
                <w:kern w:val="0"/>
                <w:sz w:val="20"/>
                <w:szCs w:val="20"/>
                <w:lang w:val="en-US" w:eastAsia="zh-CN"/>
              </w:rPr>
              <w:t>年</w:t>
            </w: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月</w:t>
            </w: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日</w:t>
            </w:r>
          </w:p>
        </w:tc>
      </w:tr>
      <w:tr>
        <w:tblPrEx>
          <w:tblCellMar>
            <w:top w:w="0" w:type="dxa"/>
            <w:left w:w="0" w:type="dxa"/>
            <w:bottom w:w="0" w:type="dxa"/>
            <w:right w:w="0" w:type="dxa"/>
          </w:tblCellMar>
        </w:tblPrEx>
        <w:trPr>
          <w:trHeight w:val="597"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安全生产检查工作结束时间</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sz w:val="20"/>
                <w:szCs w:val="20"/>
                <w:lang w:val="en-US" w:eastAsia="zh-CN"/>
              </w:rPr>
            </w:pPr>
            <w:r>
              <w:rPr>
                <w:rFonts w:hint="eastAsia" w:ascii="宋体" w:hAnsi="宋体" w:cs="宋体"/>
                <w:color w:val="000000"/>
                <w:kern w:val="0"/>
                <w:sz w:val="20"/>
                <w:szCs w:val="20"/>
              </w:rPr>
              <w:t>2021</w:t>
            </w:r>
            <w:r>
              <w:rPr>
                <w:rFonts w:hint="eastAsia" w:ascii="宋体" w:hAnsi="宋体" w:cs="宋体"/>
                <w:color w:val="000000"/>
                <w:kern w:val="0"/>
                <w:sz w:val="20"/>
                <w:szCs w:val="20"/>
                <w:lang w:val="en-US" w:eastAsia="zh-CN"/>
              </w:rPr>
              <w:t>年</w:t>
            </w:r>
            <w:r>
              <w:rPr>
                <w:rFonts w:hint="eastAsia" w:ascii="宋体" w:hAnsi="宋体" w:cs="宋体"/>
                <w:color w:val="000000"/>
                <w:kern w:val="0"/>
                <w:sz w:val="20"/>
                <w:szCs w:val="20"/>
              </w:rPr>
              <w:t>12</w:t>
            </w:r>
            <w:r>
              <w:rPr>
                <w:rFonts w:hint="eastAsia" w:ascii="宋体" w:hAnsi="宋体" w:cs="宋体"/>
                <w:color w:val="000000"/>
                <w:kern w:val="0"/>
                <w:sz w:val="20"/>
                <w:szCs w:val="20"/>
                <w:lang w:val="en-US" w:eastAsia="zh-CN"/>
              </w:rPr>
              <w:t>月</w:t>
            </w:r>
            <w:r>
              <w:rPr>
                <w:rFonts w:hint="eastAsia" w:ascii="宋体" w:hAnsi="宋体" w:cs="宋体"/>
                <w:color w:val="000000"/>
                <w:kern w:val="0"/>
                <w:sz w:val="20"/>
                <w:szCs w:val="20"/>
              </w:rPr>
              <w:t>31</w:t>
            </w:r>
            <w:r>
              <w:rPr>
                <w:rFonts w:hint="eastAsia" w:ascii="宋体" w:hAnsi="宋体" w:cs="宋体"/>
                <w:color w:val="000000"/>
                <w:kern w:val="0"/>
                <w:sz w:val="20"/>
                <w:szCs w:val="20"/>
                <w:lang w:val="en-US" w:eastAsia="zh-CN"/>
              </w:rPr>
              <w:t>日</w:t>
            </w:r>
          </w:p>
        </w:tc>
      </w:tr>
      <w:tr>
        <w:tblPrEx>
          <w:tblCellMar>
            <w:top w:w="0" w:type="dxa"/>
            <w:left w:w="0" w:type="dxa"/>
            <w:bottom w:w="0" w:type="dxa"/>
            <w:right w:w="0" w:type="dxa"/>
          </w:tblCellMar>
        </w:tblPrEx>
        <w:trPr>
          <w:trHeight w:val="597"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检查煤炭安全生产工作经费</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=30000元</w:t>
            </w:r>
          </w:p>
        </w:tc>
      </w:tr>
      <w:tr>
        <w:tblPrEx>
          <w:tblCellMar>
            <w:top w:w="0" w:type="dxa"/>
            <w:left w:w="0" w:type="dxa"/>
            <w:bottom w:w="0" w:type="dxa"/>
            <w:right w:w="0" w:type="dxa"/>
          </w:tblCellMar>
        </w:tblPrEx>
        <w:trPr>
          <w:trHeight w:val="597"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经济效益指标</w:t>
            </w: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推动伊州区煤炭行业安全生产工作</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有效促进</w:t>
            </w:r>
          </w:p>
        </w:tc>
      </w:tr>
      <w:tr>
        <w:tblPrEx>
          <w:tblCellMar>
            <w:top w:w="0" w:type="dxa"/>
            <w:left w:w="0" w:type="dxa"/>
            <w:bottom w:w="0" w:type="dxa"/>
            <w:right w:w="0" w:type="dxa"/>
          </w:tblCellMar>
        </w:tblPrEx>
        <w:trPr>
          <w:trHeight w:val="597"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提升煤炭行业安全生产意识和应急处突能力</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显著提升</w:t>
            </w:r>
          </w:p>
        </w:tc>
      </w:tr>
      <w:tr>
        <w:tblPrEx>
          <w:tblCellMar>
            <w:top w:w="0" w:type="dxa"/>
            <w:left w:w="0" w:type="dxa"/>
            <w:bottom w:w="0" w:type="dxa"/>
            <w:right w:w="0" w:type="dxa"/>
          </w:tblCellMar>
        </w:tblPrEx>
        <w:trPr>
          <w:trHeight w:val="597"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可持续影响指标</w:t>
            </w: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可影响煤炭电力行业安全生产年度</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≥1年</w:t>
            </w:r>
          </w:p>
        </w:tc>
      </w:tr>
      <w:tr>
        <w:tblPrEx>
          <w:tblCellMar>
            <w:top w:w="0" w:type="dxa"/>
            <w:left w:w="0" w:type="dxa"/>
            <w:bottom w:w="0" w:type="dxa"/>
            <w:right w:w="0" w:type="dxa"/>
          </w:tblCellMar>
        </w:tblPrEx>
        <w:trPr>
          <w:trHeight w:val="597"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92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服务对象满意度指标</w:t>
            </w: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监管企业满意度</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≥95%</w:t>
            </w:r>
          </w:p>
        </w:tc>
      </w:tr>
      <w:tr>
        <w:tblPrEx>
          <w:tblCellMar>
            <w:top w:w="0" w:type="dxa"/>
            <w:left w:w="0" w:type="dxa"/>
            <w:bottom w:w="0" w:type="dxa"/>
            <w:right w:w="0" w:type="dxa"/>
          </w:tblCellMar>
        </w:tblPrEx>
        <w:trPr>
          <w:trHeight w:val="606" w:hRule="atLeast"/>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17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9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单位职工满意度</w:t>
            </w:r>
          </w:p>
        </w:tc>
        <w:tc>
          <w:tcPr>
            <w:tcW w:w="22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≥95%</w:t>
            </w:r>
          </w:p>
        </w:tc>
      </w:tr>
    </w:tbl>
    <w:p>
      <w:pPr>
        <w:rPr>
          <w:rFonts w:ascii="楷体_GB2312" w:hAnsi="宋体" w:eastAsia="楷体_GB2312" w:cs="宋体"/>
          <w:b/>
          <w:kern w:val="0"/>
          <w:sz w:val="32"/>
          <w:szCs w:val="32"/>
        </w:rPr>
      </w:pPr>
      <w:r>
        <w:rPr>
          <w:rFonts w:hint="eastAsia" w:ascii="楷体_GB2312" w:hAnsi="宋体" w:eastAsia="楷体_GB2312" w:cs="宋体"/>
          <w:b/>
          <w:kern w:val="0"/>
          <w:sz w:val="32"/>
          <w:szCs w:val="32"/>
        </w:rPr>
        <w:br w:type="page"/>
      </w:r>
    </w:p>
    <w:tbl>
      <w:tblPr>
        <w:tblStyle w:val="5"/>
        <w:tblW w:w="8879" w:type="dxa"/>
        <w:tblInd w:w="0" w:type="dxa"/>
        <w:tblLayout w:type="fixed"/>
        <w:tblCellMar>
          <w:top w:w="0" w:type="dxa"/>
          <w:left w:w="0" w:type="dxa"/>
          <w:bottom w:w="0" w:type="dxa"/>
          <w:right w:w="0" w:type="dxa"/>
        </w:tblCellMar>
      </w:tblPr>
      <w:tblGrid>
        <w:gridCol w:w="948"/>
        <w:gridCol w:w="743"/>
        <w:gridCol w:w="1586"/>
        <w:gridCol w:w="3265"/>
        <w:gridCol w:w="2337"/>
      </w:tblGrid>
      <w:tr>
        <w:tblPrEx>
          <w:tblCellMar>
            <w:top w:w="0" w:type="dxa"/>
            <w:left w:w="0" w:type="dxa"/>
            <w:bottom w:w="0" w:type="dxa"/>
            <w:right w:w="0" w:type="dxa"/>
          </w:tblCellMar>
        </w:tblPrEx>
        <w:trPr>
          <w:trHeight w:val="619" w:hRule="atLeast"/>
        </w:trPr>
        <w:tc>
          <w:tcPr>
            <w:tcW w:w="8879" w:type="dxa"/>
            <w:gridSpan w:val="5"/>
            <w:tcBorders>
              <w:top w:val="nil"/>
              <w:left w:val="nil"/>
              <w:bottom w:val="nil"/>
              <w:right w:val="nil"/>
            </w:tcBorders>
            <w:shd w:val="clear" w:color="auto" w:fill="auto"/>
            <w:tcMar>
              <w:top w:w="12" w:type="dxa"/>
              <w:left w:w="12" w:type="dxa"/>
              <w:right w:w="12" w:type="dxa"/>
            </w:tcMar>
            <w:vAlign w:val="center"/>
          </w:tcPr>
          <w:p>
            <w:pPr>
              <w:widowControl/>
              <w:jc w:val="center"/>
              <w:textAlignment w:val="center"/>
              <w:rPr>
                <w:rFonts w:ascii="Arial" w:hAnsi="Arial" w:cs="Arial"/>
                <w:color w:val="000000"/>
                <w:sz w:val="20"/>
                <w:szCs w:val="20"/>
              </w:rPr>
            </w:pPr>
            <w:r>
              <w:rPr>
                <w:rFonts w:hint="eastAsia" w:ascii="仿宋_GB2312" w:hAnsi="宋体" w:eastAsia="仿宋_GB2312"/>
                <w:b/>
                <w:kern w:val="0"/>
                <w:sz w:val="32"/>
                <w:szCs w:val="32"/>
              </w:rPr>
              <w:t>项  目  支  出  绩  效  目  标  表</w:t>
            </w:r>
          </w:p>
        </w:tc>
      </w:tr>
      <w:tr>
        <w:tblPrEx>
          <w:tblCellMar>
            <w:top w:w="0" w:type="dxa"/>
            <w:left w:w="0" w:type="dxa"/>
            <w:bottom w:w="0" w:type="dxa"/>
            <w:right w:w="0" w:type="dxa"/>
          </w:tblCellMar>
        </w:tblPrEx>
        <w:trPr>
          <w:trHeight w:val="254" w:hRule="atLeast"/>
        </w:trPr>
        <w:tc>
          <w:tcPr>
            <w:tcW w:w="8879" w:type="dxa"/>
            <w:gridSpan w:val="5"/>
            <w:tcBorders>
              <w:top w:val="nil"/>
              <w:left w:val="nil"/>
              <w:bottom w:val="nil"/>
              <w:right w:val="nil"/>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 2021 年）</w:t>
            </w:r>
          </w:p>
        </w:tc>
      </w:tr>
      <w:tr>
        <w:tblPrEx>
          <w:tblCellMar>
            <w:top w:w="0" w:type="dxa"/>
            <w:left w:w="0" w:type="dxa"/>
            <w:bottom w:w="0" w:type="dxa"/>
            <w:right w:w="0" w:type="dxa"/>
          </w:tblCellMar>
        </w:tblPrEx>
        <w:trPr>
          <w:trHeight w:val="342"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项目名称</w:t>
            </w:r>
          </w:p>
        </w:tc>
        <w:tc>
          <w:tcPr>
            <w:tcW w:w="793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t>农产品成本调查经费</w:t>
            </w:r>
          </w:p>
        </w:tc>
      </w:tr>
      <w:tr>
        <w:tblPrEx>
          <w:tblCellMar>
            <w:top w:w="0" w:type="dxa"/>
            <w:left w:w="0" w:type="dxa"/>
            <w:bottom w:w="0" w:type="dxa"/>
            <w:right w:w="0" w:type="dxa"/>
          </w:tblCellMar>
        </w:tblPrEx>
        <w:trPr>
          <w:trHeight w:val="342"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预算单位</w:t>
            </w:r>
          </w:p>
        </w:tc>
        <w:tc>
          <w:tcPr>
            <w:tcW w:w="793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t>哈密市伊州区发展和改革委员会</w:t>
            </w:r>
          </w:p>
        </w:tc>
      </w:tr>
      <w:tr>
        <w:tblPrEx>
          <w:tblCellMar>
            <w:top w:w="0" w:type="dxa"/>
            <w:left w:w="0" w:type="dxa"/>
            <w:bottom w:w="0" w:type="dxa"/>
            <w:right w:w="0" w:type="dxa"/>
          </w:tblCellMar>
        </w:tblPrEx>
        <w:trPr>
          <w:trHeight w:val="359" w:hRule="atLeast"/>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项目资金</w:t>
            </w:r>
          </w:p>
        </w:tc>
        <w:tc>
          <w:tcPr>
            <w:tcW w:w="793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年度资金总额：5</w:t>
            </w:r>
            <w:r>
              <w:rPr>
                <w:rFonts w:hint="eastAsia" w:ascii="宋体" w:hAnsi="宋体" w:cs="宋体"/>
                <w:color w:val="000000"/>
                <w:kern w:val="0"/>
                <w:sz w:val="20"/>
                <w:szCs w:val="20"/>
                <w:lang w:val="en-US" w:eastAsia="zh-CN"/>
              </w:rPr>
              <w:t>.00</w:t>
            </w:r>
            <w:bookmarkStart w:id="0" w:name="_GoBack"/>
            <w:bookmarkEnd w:id="0"/>
            <w:r>
              <w:rPr>
                <w:rFonts w:hint="eastAsia" w:ascii="宋体" w:hAnsi="宋体" w:cs="宋体"/>
                <w:color w:val="000000"/>
                <w:kern w:val="0"/>
                <w:sz w:val="20"/>
                <w:szCs w:val="20"/>
              </w:rPr>
              <w:t>万元</w:t>
            </w:r>
          </w:p>
        </w:tc>
      </w:tr>
      <w:tr>
        <w:tblPrEx>
          <w:tblCellMar>
            <w:top w:w="0" w:type="dxa"/>
            <w:left w:w="0" w:type="dxa"/>
            <w:bottom w:w="0" w:type="dxa"/>
            <w:right w:w="0" w:type="dxa"/>
          </w:tblCellMar>
        </w:tblPrEx>
        <w:trPr>
          <w:trHeight w:val="300"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793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 xml:space="preserve">       其中：财政拨款：5</w:t>
            </w:r>
            <w:r>
              <w:rPr>
                <w:rFonts w:hint="eastAsia" w:ascii="宋体" w:hAnsi="宋体" w:cs="宋体"/>
                <w:color w:val="000000"/>
                <w:kern w:val="0"/>
                <w:sz w:val="20"/>
                <w:szCs w:val="20"/>
                <w:lang w:val="en-US" w:eastAsia="zh-CN"/>
              </w:rPr>
              <w:t>.00</w:t>
            </w:r>
            <w:r>
              <w:rPr>
                <w:rFonts w:hint="eastAsia" w:ascii="宋体" w:hAnsi="宋体" w:cs="宋体"/>
                <w:color w:val="000000"/>
                <w:kern w:val="0"/>
                <w:sz w:val="20"/>
                <w:szCs w:val="20"/>
              </w:rPr>
              <w:t>万元</w:t>
            </w:r>
          </w:p>
        </w:tc>
      </w:tr>
      <w:tr>
        <w:tblPrEx>
          <w:tblCellMar>
            <w:top w:w="0" w:type="dxa"/>
            <w:left w:w="0" w:type="dxa"/>
            <w:bottom w:w="0" w:type="dxa"/>
            <w:right w:w="0" w:type="dxa"/>
          </w:tblCellMar>
        </w:tblPrEx>
        <w:trPr>
          <w:trHeight w:val="300" w:hRule="atLeast"/>
        </w:trPr>
        <w:tc>
          <w:tcPr>
            <w:tcW w:w="948" w:type="dxa"/>
            <w:vMerge w:val="continue"/>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793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left"/>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rPr>
              <w:t xml:space="preserve">            其他资金：</w:t>
            </w:r>
            <w:r>
              <w:rPr>
                <w:rFonts w:hint="eastAsia" w:ascii="宋体" w:hAnsi="宋体" w:cs="宋体"/>
                <w:color w:val="000000"/>
                <w:kern w:val="0"/>
                <w:sz w:val="20"/>
                <w:szCs w:val="20"/>
                <w:lang w:val="en-US" w:eastAsia="zh-CN"/>
              </w:rPr>
              <w:t>0.00</w:t>
            </w:r>
          </w:p>
        </w:tc>
      </w:tr>
      <w:tr>
        <w:tblPrEx>
          <w:tblCellMar>
            <w:top w:w="0" w:type="dxa"/>
            <w:left w:w="0" w:type="dxa"/>
            <w:bottom w:w="0" w:type="dxa"/>
            <w:right w:w="0" w:type="dxa"/>
          </w:tblCellMar>
        </w:tblPrEx>
        <w:trPr>
          <w:trHeight w:val="300" w:hRule="atLeast"/>
        </w:trPr>
        <w:tc>
          <w:tcPr>
            <w:tcW w:w="9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总体目标</w:t>
            </w:r>
          </w:p>
        </w:tc>
        <w:tc>
          <w:tcPr>
            <w:tcW w:w="7931"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年度绩效目标</w:t>
            </w:r>
          </w:p>
        </w:tc>
      </w:tr>
      <w:tr>
        <w:tblPrEx>
          <w:tblCellMar>
            <w:top w:w="0" w:type="dxa"/>
            <w:left w:w="0" w:type="dxa"/>
            <w:bottom w:w="0" w:type="dxa"/>
            <w:right w:w="0" w:type="dxa"/>
          </w:tblCellMar>
        </w:tblPrEx>
        <w:trPr>
          <w:trHeight w:val="606"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931"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楷体_GB2312" w:hAnsi="Arial" w:eastAsia="楷体_GB2312" w:cs="楷体_GB2312"/>
                <w:color w:val="000000"/>
                <w:sz w:val="20"/>
                <w:szCs w:val="20"/>
              </w:rPr>
            </w:pPr>
            <w:r>
              <w:rPr>
                <w:rFonts w:ascii="宋体" w:hAnsi="宋体" w:cs="宋体"/>
                <w:color w:val="000000"/>
                <w:kern w:val="0"/>
                <w:sz w:val="20"/>
                <w:szCs w:val="20"/>
              </w:rPr>
              <w:t>通过农产品成本调查，为制定农产品价格、财政补贴、保险及农业支持政策提供参考数据，为建立农资综合补贴动态调整机制提供成本数据，为农业补贴政策的调整公共科学依据。</w:t>
            </w:r>
          </w:p>
        </w:tc>
      </w:tr>
      <w:tr>
        <w:tblPrEx>
          <w:tblCellMar>
            <w:top w:w="0" w:type="dxa"/>
            <w:left w:w="0" w:type="dxa"/>
            <w:bottom w:w="0" w:type="dxa"/>
            <w:right w:w="0" w:type="dxa"/>
          </w:tblCellMar>
        </w:tblPrEx>
        <w:trPr>
          <w:trHeight w:val="343" w:hRule="atLeast"/>
        </w:trPr>
        <w:tc>
          <w:tcPr>
            <w:tcW w:w="94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bottom"/>
          </w:tcPr>
          <w:p>
            <w:pPr>
              <w:rPr>
                <w:rFonts w:ascii="Arial" w:hAnsi="Arial" w:cs="Arial"/>
                <w:color w:val="000000"/>
                <w:sz w:val="20"/>
                <w:szCs w:val="20"/>
              </w:rPr>
            </w:pPr>
          </w:p>
        </w:tc>
        <w:tc>
          <w:tcPr>
            <w:tcW w:w="743"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一级目标</w:t>
            </w: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二级目标</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三级目标</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指标值（包含数字及文字描述）</w:t>
            </w:r>
          </w:p>
        </w:tc>
      </w:tr>
      <w:tr>
        <w:tblPrEx>
          <w:tblCellMar>
            <w:top w:w="0" w:type="dxa"/>
            <w:left w:w="0" w:type="dxa"/>
            <w:bottom w:w="0" w:type="dxa"/>
            <w:right w:w="0" w:type="dxa"/>
          </w:tblCellMar>
        </w:tblPrEx>
        <w:trPr>
          <w:trHeight w:val="343" w:hRule="atLeast"/>
        </w:trPr>
        <w:tc>
          <w:tcPr>
            <w:tcW w:w="9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绩效</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目标</w:t>
            </w:r>
          </w:p>
        </w:tc>
        <w:tc>
          <w:tcPr>
            <w:tcW w:w="743"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58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形成农产品成本收益调查报告份数</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≥1份</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农产品批发市场信息采集条数</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≥100条</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区域内农产品定点监测数量</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≥4个/年</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监测预警报告及调研和产品分析报告份数</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≥2份</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年调查农户数量</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≥38户</w:t>
            </w:r>
          </w:p>
        </w:tc>
      </w:tr>
      <w:tr>
        <w:tblPrEx>
          <w:tblCellMar>
            <w:top w:w="0" w:type="dxa"/>
            <w:left w:w="0" w:type="dxa"/>
            <w:bottom w:w="0" w:type="dxa"/>
            <w:right w:w="0" w:type="dxa"/>
          </w:tblCellMar>
        </w:tblPrEx>
        <w:trPr>
          <w:trHeight w:val="425"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统计监测数据</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数据全面、准确、不缺项漏项、可用性强</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调查方法</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方法科学合理，可操作性强</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入户调查区域覆盖率</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计划资金到位率</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项目开始时间</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sz w:val="20"/>
                <w:szCs w:val="20"/>
                <w:lang w:val="en-US" w:eastAsia="zh-CN"/>
              </w:rPr>
            </w:pPr>
            <w:r>
              <w:rPr>
                <w:rFonts w:hint="eastAsia" w:ascii="宋体" w:hAnsi="宋体" w:cs="宋体"/>
                <w:color w:val="000000"/>
                <w:kern w:val="0"/>
                <w:sz w:val="20"/>
                <w:szCs w:val="20"/>
              </w:rPr>
              <w:t>2021</w:t>
            </w:r>
            <w:r>
              <w:rPr>
                <w:rFonts w:hint="eastAsia" w:ascii="宋体" w:hAnsi="宋体" w:cs="宋体"/>
                <w:color w:val="000000"/>
                <w:kern w:val="0"/>
                <w:sz w:val="20"/>
                <w:szCs w:val="20"/>
                <w:lang w:val="en-US" w:eastAsia="zh-CN"/>
              </w:rPr>
              <w:t>年</w:t>
            </w: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月</w:t>
            </w:r>
            <w:r>
              <w:rPr>
                <w:rFonts w:hint="eastAsia" w:ascii="宋体" w:hAnsi="宋体" w:cs="宋体"/>
                <w:color w:val="000000"/>
                <w:kern w:val="0"/>
                <w:sz w:val="20"/>
                <w:szCs w:val="20"/>
              </w:rPr>
              <w:t>1</w:t>
            </w:r>
            <w:r>
              <w:rPr>
                <w:rFonts w:hint="eastAsia" w:ascii="宋体" w:hAnsi="宋体" w:cs="宋体"/>
                <w:color w:val="000000"/>
                <w:kern w:val="0"/>
                <w:sz w:val="20"/>
                <w:szCs w:val="20"/>
                <w:lang w:val="en-US" w:eastAsia="zh-CN"/>
              </w:rPr>
              <w:t>日</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项目结束时间</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宋体" w:hAnsi="宋体" w:eastAsia="宋体" w:cs="宋体"/>
                <w:color w:val="000000"/>
                <w:sz w:val="20"/>
                <w:szCs w:val="20"/>
                <w:lang w:val="en-US" w:eastAsia="zh-CN"/>
              </w:rPr>
            </w:pPr>
            <w:r>
              <w:rPr>
                <w:rFonts w:hint="eastAsia" w:ascii="宋体" w:hAnsi="宋体" w:cs="宋体"/>
                <w:color w:val="000000"/>
                <w:kern w:val="0"/>
                <w:sz w:val="20"/>
                <w:szCs w:val="20"/>
              </w:rPr>
              <w:t>2021</w:t>
            </w:r>
            <w:r>
              <w:rPr>
                <w:rFonts w:hint="eastAsia" w:ascii="宋体" w:hAnsi="宋体" w:cs="宋体"/>
                <w:color w:val="000000"/>
                <w:kern w:val="0"/>
                <w:sz w:val="20"/>
                <w:szCs w:val="20"/>
                <w:lang w:val="en-US" w:eastAsia="zh-CN"/>
              </w:rPr>
              <w:t>年</w:t>
            </w:r>
            <w:r>
              <w:rPr>
                <w:rFonts w:hint="eastAsia" w:ascii="宋体" w:hAnsi="宋体" w:cs="宋体"/>
                <w:color w:val="000000"/>
                <w:kern w:val="0"/>
                <w:sz w:val="20"/>
                <w:szCs w:val="20"/>
              </w:rPr>
              <w:t>12</w:t>
            </w:r>
            <w:r>
              <w:rPr>
                <w:rFonts w:hint="eastAsia" w:ascii="宋体" w:hAnsi="宋体" w:cs="宋体"/>
                <w:color w:val="000000"/>
                <w:kern w:val="0"/>
                <w:sz w:val="20"/>
                <w:szCs w:val="20"/>
                <w:lang w:val="en-US" w:eastAsia="zh-CN"/>
              </w:rPr>
              <w:t>月</w:t>
            </w:r>
            <w:r>
              <w:rPr>
                <w:rFonts w:hint="eastAsia" w:ascii="宋体" w:hAnsi="宋体" w:cs="宋体"/>
                <w:color w:val="000000"/>
                <w:kern w:val="0"/>
                <w:sz w:val="20"/>
                <w:szCs w:val="20"/>
              </w:rPr>
              <w:t>31</w:t>
            </w:r>
            <w:r>
              <w:rPr>
                <w:rFonts w:hint="eastAsia" w:ascii="宋体" w:hAnsi="宋体" w:cs="宋体"/>
                <w:color w:val="000000"/>
                <w:kern w:val="0"/>
                <w:sz w:val="20"/>
                <w:szCs w:val="20"/>
                <w:lang w:val="en-US" w:eastAsia="zh-CN"/>
              </w:rPr>
              <w:t>日</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误工补贴</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≤20000元</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调查工作办公经费</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≤10000元</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调查工作车辆燃油费</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≤20000元</w:t>
            </w:r>
          </w:p>
        </w:tc>
      </w:tr>
      <w:tr>
        <w:tblPrEx>
          <w:tblCellMar>
            <w:top w:w="0" w:type="dxa"/>
            <w:left w:w="0" w:type="dxa"/>
            <w:bottom w:w="0" w:type="dxa"/>
            <w:right w:w="0" w:type="dxa"/>
          </w:tblCellMar>
        </w:tblPrEx>
        <w:trPr>
          <w:trHeight w:val="425"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58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农业相关统计监测工作的开展为农牧业生产、农产品加工提供有效依据和指导</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显著提高</w:t>
            </w:r>
          </w:p>
        </w:tc>
      </w:tr>
      <w:tr>
        <w:tblPrEx>
          <w:tblCellMar>
            <w:top w:w="0" w:type="dxa"/>
            <w:left w:w="0" w:type="dxa"/>
            <w:bottom w:w="0" w:type="dxa"/>
            <w:right w:w="0" w:type="dxa"/>
          </w:tblCellMar>
        </w:tblPrEx>
        <w:trPr>
          <w:trHeight w:val="448"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农业相关统计监测数据及分析报告为领导决策和分析判断我区农业发展各领域方向提供支撑</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明显提升</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可持续影响指标</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项目可持续影响年限</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≥1年</w:t>
            </w:r>
          </w:p>
        </w:tc>
      </w:tr>
      <w:tr>
        <w:tblPrEx>
          <w:tblCellMar>
            <w:top w:w="0" w:type="dxa"/>
            <w:left w:w="0" w:type="dxa"/>
            <w:bottom w:w="0" w:type="dxa"/>
            <w:right w:w="0" w:type="dxa"/>
          </w:tblCellMar>
        </w:tblPrEx>
        <w:trPr>
          <w:trHeight w:val="343"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58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服务对象满意度指标</w:t>
            </w: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有关部门对分析报告满意度</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≥96%</w:t>
            </w:r>
          </w:p>
        </w:tc>
      </w:tr>
      <w:tr>
        <w:tblPrEx>
          <w:tblCellMar>
            <w:top w:w="0" w:type="dxa"/>
            <w:left w:w="0" w:type="dxa"/>
            <w:bottom w:w="0" w:type="dxa"/>
            <w:right w:w="0" w:type="dxa"/>
          </w:tblCellMar>
        </w:tblPrEx>
        <w:trPr>
          <w:trHeight w:val="350" w:hRule="atLeast"/>
        </w:trPr>
        <w:tc>
          <w:tcPr>
            <w:tcW w:w="9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43"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15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326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监测数据使用单位的满意度</w:t>
            </w:r>
          </w:p>
        </w:tc>
        <w:tc>
          <w:tcPr>
            <w:tcW w:w="2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≥95%</w:t>
            </w:r>
          </w:p>
        </w:tc>
      </w:tr>
    </w:tbl>
    <w:p>
      <w:pPr>
        <w:rPr>
          <w:rFonts w:ascii="楷体_GB2312" w:hAnsi="宋体" w:eastAsia="楷体_GB2312" w:cs="宋体"/>
          <w:b/>
          <w:kern w:val="0"/>
          <w:sz w:val="32"/>
          <w:szCs w:val="32"/>
        </w:rPr>
      </w:pPr>
      <w:r>
        <w:rPr>
          <w:rFonts w:hint="eastAsia" w:ascii="楷体_GB2312" w:hAnsi="宋体" w:eastAsia="楷体_GB2312" w:cs="宋体"/>
          <w:b/>
          <w:kern w:val="0"/>
          <w:sz w:val="32"/>
          <w:szCs w:val="32"/>
        </w:rPr>
        <w:br w:type="page"/>
      </w:r>
    </w:p>
    <w:p>
      <w:pPr>
        <w:widowControl/>
        <w:spacing w:line="520" w:lineRule="exact"/>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20" w:lineRule="exact"/>
        <w:ind w:firstLine="960" w:firstLineChars="3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无其他需要说明的事项     </w:t>
      </w:r>
    </w:p>
    <w:p>
      <w:pPr>
        <w:widowControl/>
        <w:spacing w:before="156" w:beforeLines="50" w:line="520" w:lineRule="exact"/>
        <w:jc w:val="center"/>
        <w:outlineLvl w:val="1"/>
        <w:rPr>
          <w:rFonts w:ascii="黑体" w:hAnsi="黑体" w:eastAsia="黑体"/>
          <w:kern w:val="0"/>
          <w:sz w:val="32"/>
          <w:szCs w:val="32"/>
        </w:rPr>
      </w:pPr>
    </w:p>
    <w:p>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before="156"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2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pacing w:val="-6"/>
          <w:sz w:val="32"/>
          <w:szCs w:val="32"/>
        </w:rPr>
        <w:t>包括公共财政拨款（补助）资金、专项收入。</w:t>
      </w:r>
    </w:p>
    <w:p>
      <w:pPr>
        <w:spacing w:line="520" w:lineRule="exact"/>
        <w:ind w:firstLine="642"/>
        <w:rPr>
          <w:rFonts w:ascii="仿宋_GB2312" w:eastAsia="仿宋_GB2312"/>
          <w:sz w:val="32"/>
          <w:szCs w:val="32"/>
        </w:rPr>
      </w:pPr>
      <w:r>
        <w:rPr>
          <w:rFonts w:hint="eastAsia" w:ascii="黑体" w:hAnsi="黑体" w:eastAsia="黑体"/>
          <w:sz w:val="32"/>
          <w:szCs w:val="32"/>
        </w:rPr>
        <w:t>三、基本支出：</w:t>
      </w:r>
      <w:r>
        <w:rPr>
          <w:rFonts w:hint="eastAsia" w:ascii="仿宋_GB2312" w:eastAsia="仿宋_GB2312"/>
          <w:sz w:val="32"/>
          <w:szCs w:val="32"/>
        </w:rPr>
        <w:t>包括人员经费、商品和服务支出（定额）。其中，人员经费包括工资福利支出、对个人和家庭的补助。</w:t>
      </w:r>
    </w:p>
    <w:p>
      <w:pPr>
        <w:spacing w:line="520" w:lineRule="exact"/>
        <w:ind w:firstLine="642"/>
        <w:rPr>
          <w:rFonts w:ascii="仿宋_GB2312" w:eastAsia="仿宋_GB2312"/>
          <w:sz w:val="32"/>
          <w:szCs w:val="32"/>
        </w:rPr>
      </w:pPr>
      <w:r>
        <w:rPr>
          <w:rFonts w:hint="eastAsia" w:ascii="黑体" w:hAnsi="黑体" w:eastAsia="黑体"/>
          <w:sz w:val="32"/>
          <w:szCs w:val="32"/>
        </w:rPr>
        <w:t>四、项目支出：</w:t>
      </w:r>
      <w:r>
        <w:rPr>
          <w:rFonts w:hint="eastAsia" w:ascii="仿宋_GB2312" w:eastAsia="仿宋_GB2312"/>
          <w:sz w:val="32"/>
          <w:szCs w:val="32"/>
        </w:rPr>
        <w:t>部门支出预算的组成部分，是自治区本级部门为完成其特定的行政任务或事业发展目标，在基本支出预算之外编制的年度项目支出计划。</w:t>
      </w:r>
    </w:p>
    <w:p>
      <w:pPr>
        <w:spacing w:line="520" w:lineRule="exact"/>
        <w:ind w:firstLine="642"/>
        <w:rPr>
          <w:rFonts w:ascii="仿宋_GB2312" w:eastAsia="仿宋_GB2312"/>
          <w:sz w:val="32"/>
          <w:szCs w:val="32"/>
        </w:rPr>
      </w:pPr>
      <w:r>
        <w:rPr>
          <w:rFonts w:hint="eastAsia" w:ascii="黑体" w:hAnsi="黑体" w:eastAsia="黑体"/>
          <w:sz w:val="32"/>
          <w:szCs w:val="32"/>
        </w:rPr>
        <w:t>五、“三公”经费：</w:t>
      </w:r>
      <w:r>
        <w:rPr>
          <w:rFonts w:hint="eastAsia" w:ascii="仿宋_GB2312" w:eastAsia="仿宋_GB2312"/>
          <w:sz w:val="32"/>
          <w:szCs w:val="32"/>
        </w:rPr>
        <w:t>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20" w:lineRule="exact"/>
        <w:ind w:firstLine="642"/>
        <w:rPr>
          <w:rFonts w:ascii="仿宋_GB2312" w:eastAsia="仿宋_GB2312"/>
          <w:sz w:val="32"/>
          <w:szCs w:val="32"/>
        </w:rPr>
      </w:pPr>
      <w:r>
        <w:rPr>
          <w:rFonts w:hint="eastAsia" w:ascii="黑体" w:hAnsi="黑体" w:eastAsia="黑体"/>
          <w:sz w:val="32"/>
          <w:szCs w:val="32"/>
        </w:rPr>
        <w:t>六、机关运行经费：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640"/>
        <w:rPr>
          <w:rFonts w:ascii="仿宋_GB2312" w:eastAsia="仿宋_GB2312"/>
          <w:b/>
          <w:szCs w:val="20"/>
          <w:highlight w:val="yellow"/>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哈密市伊州区发展和改革委员会部门</w:t>
      </w: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2021</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8</w:t>
      </w:r>
      <w:r>
        <w:rPr>
          <w:rFonts w:ascii="仿宋_GB2312" w:hAnsi="宋体" w:eastAsia="仿宋_GB2312" w:cs="宋体"/>
          <w:kern w:val="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6 -</w:t>
    </w:r>
    <w:r>
      <w:rPr>
        <w:rFonts w:ascii="宋体" w:hAnsi="宋体" w:eastAsia="宋体"/>
        <w:sz w:val="28"/>
        <w:szCs w:val="2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172A27"/>
    <w:rsid w:val="000310B8"/>
    <w:rsid w:val="00065E67"/>
    <w:rsid w:val="00150D3A"/>
    <w:rsid w:val="00172A27"/>
    <w:rsid w:val="002B4C5D"/>
    <w:rsid w:val="002D0D67"/>
    <w:rsid w:val="00365927"/>
    <w:rsid w:val="00371B9C"/>
    <w:rsid w:val="003C7C6A"/>
    <w:rsid w:val="00633D70"/>
    <w:rsid w:val="0071350F"/>
    <w:rsid w:val="00721921"/>
    <w:rsid w:val="00767109"/>
    <w:rsid w:val="007B007B"/>
    <w:rsid w:val="007F21AF"/>
    <w:rsid w:val="00897D95"/>
    <w:rsid w:val="00901424"/>
    <w:rsid w:val="00936A09"/>
    <w:rsid w:val="00A949D4"/>
    <w:rsid w:val="00AA205F"/>
    <w:rsid w:val="00AB535A"/>
    <w:rsid w:val="00BA0397"/>
    <w:rsid w:val="00C00894"/>
    <w:rsid w:val="00DD162A"/>
    <w:rsid w:val="00E62DEA"/>
    <w:rsid w:val="00EA704E"/>
    <w:rsid w:val="00EB3019"/>
    <w:rsid w:val="00F473B2"/>
    <w:rsid w:val="00F513C6"/>
    <w:rsid w:val="00FC60BE"/>
    <w:rsid w:val="020B635A"/>
    <w:rsid w:val="026C3CD4"/>
    <w:rsid w:val="04AF408D"/>
    <w:rsid w:val="054A2D60"/>
    <w:rsid w:val="0681685E"/>
    <w:rsid w:val="068A7D49"/>
    <w:rsid w:val="068D1A6D"/>
    <w:rsid w:val="06F21AAD"/>
    <w:rsid w:val="07803466"/>
    <w:rsid w:val="080418B7"/>
    <w:rsid w:val="090030F3"/>
    <w:rsid w:val="09081456"/>
    <w:rsid w:val="09214A2D"/>
    <w:rsid w:val="09DC100E"/>
    <w:rsid w:val="0A6771EF"/>
    <w:rsid w:val="0A9F6DC0"/>
    <w:rsid w:val="0AAA4144"/>
    <w:rsid w:val="0AC70105"/>
    <w:rsid w:val="0B8A6E4F"/>
    <w:rsid w:val="0C690AF1"/>
    <w:rsid w:val="0D09154A"/>
    <w:rsid w:val="0E32342A"/>
    <w:rsid w:val="0E7030AF"/>
    <w:rsid w:val="0EDE5093"/>
    <w:rsid w:val="0F457088"/>
    <w:rsid w:val="0F7D773F"/>
    <w:rsid w:val="0FAB18FE"/>
    <w:rsid w:val="0FD74210"/>
    <w:rsid w:val="0FDB4E1E"/>
    <w:rsid w:val="10197BE1"/>
    <w:rsid w:val="10841917"/>
    <w:rsid w:val="10907D7F"/>
    <w:rsid w:val="10B224EA"/>
    <w:rsid w:val="12F75134"/>
    <w:rsid w:val="136558F0"/>
    <w:rsid w:val="13ED3C31"/>
    <w:rsid w:val="145E6BD0"/>
    <w:rsid w:val="165D0445"/>
    <w:rsid w:val="166E156C"/>
    <w:rsid w:val="16E13C3A"/>
    <w:rsid w:val="18055EEB"/>
    <w:rsid w:val="18762DC3"/>
    <w:rsid w:val="19F15585"/>
    <w:rsid w:val="1A010239"/>
    <w:rsid w:val="1A0F652D"/>
    <w:rsid w:val="1ADF7D8B"/>
    <w:rsid w:val="1B23461B"/>
    <w:rsid w:val="1B326891"/>
    <w:rsid w:val="1BAC14C4"/>
    <w:rsid w:val="1BF016D8"/>
    <w:rsid w:val="1C261F19"/>
    <w:rsid w:val="1CB729A9"/>
    <w:rsid w:val="1D581F25"/>
    <w:rsid w:val="1E3A4679"/>
    <w:rsid w:val="1E713C3D"/>
    <w:rsid w:val="1F934402"/>
    <w:rsid w:val="1FB82AB6"/>
    <w:rsid w:val="209370D4"/>
    <w:rsid w:val="20B53E02"/>
    <w:rsid w:val="20C64154"/>
    <w:rsid w:val="20D15788"/>
    <w:rsid w:val="21644C03"/>
    <w:rsid w:val="21E6398B"/>
    <w:rsid w:val="224376F4"/>
    <w:rsid w:val="23627EEA"/>
    <w:rsid w:val="23C551F7"/>
    <w:rsid w:val="244F4F0F"/>
    <w:rsid w:val="247A26EA"/>
    <w:rsid w:val="24895FEB"/>
    <w:rsid w:val="258E1661"/>
    <w:rsid w:val="25C81958"/>
    <w:rsid w:val="25FC1744"/>
    <w:rsid w:val="26E34365"/>
    <w:rsid w:val="273954BE"/>
    <w:rsid w:val="283C6424"/>
    <w:rsid w:val="28A63F1E"/>
    <w:rsid w:val="28EE7E61"/>
    <w:rsid w:val="2A561192"/>
    <w:rsid w:val="2CAB5A35"/>
    <w:rsid w:val="2D9376C9"/>
    <w:rsid w:val="2FF707D3"/>
    <w:rsid w:val="307C7DD5"/>
    <w:rsid w:val="314377B1"/>
    <w:rsid w:val="314E0F4F"/>
    <w:rsid w:val="317F26DE"/>
    <w:rsid w:val="332E163F"/>
    <w:rsid w:val="33553F88"/>
    <w:rsid w:val="337D4999"/>
    <w:rsid w:val="337F3F3B"/>
    <w:rsid w:val="3527360A"/>
    <w:rsid w:val="35925F62"/>
    <w:rsid w:val="368C1B34"/>
    <w:rsid w:val="376B215E"/>
    <w:rsid w:val="38735557"/>
    <w:rsid w:val="39AA7D2D"/>
    <w:rsid w:val="3A2965B0"/>
    <w:rsid w:val="3A9F2844"/>
    <w:rsid w:val="3AB35EFA"/>
    <w:rsid w:val="3B554366"/>
    <w:rsid w:val="3C2913CC"/>
    <w:rsid w:val="3D310CE3"/>
    <w:rsid w:val="3D394ECE"/>
    <w:rsid w:val="3D5E2423"/>
    <w:rsid w:val="3E5B6E61"/>
    <w:rsid w:val="3EAE756D"/>
    <w:rsid w:val="3ED57085"/>
    <w:rsid w:val="3FD5590C"/>
    <w:rsid w:val="418C74DC"/>
    <w:rsid w:val="41D6091E"/>
    <w:rsid w:val="41DF7C77"/>
    <w:rsid w:val="423613AA"/>
    <w:rsid w:val="4261749B"/>
    <w:rsid w:val="428F3C7E"/>
    <w:rsid w:val="42E137BC"/>
    <w:rsid w:val="44F27054"/>
    <w:rsid w:val="45CB5634"/>
    <w:rsid w:val="45CD3F8D"/>
    <w:rsid w:val="46810C8A"/>
    <w:rsid w:val="46CE4513"/>
    <w:rsid w:val="471C795D"/>
    <w:rsid w:val="47F02B7D"/>
    <w:rsid w:val="48062AB7"/>
    <w:rsid w:val="4983607C"/>
    <w:rsid w:val="4B3E4A44"/>
    <w:rsid w:val="4B557A32"/>
    <w:rsid w:val="4C17638B"/>
    <w:rsid w:val="4C386F7C"/>
    <w:rsid w:val="4CED5826"/>
    <w:rsid w:val="4CF02BB1"/>
    <w:rsid w:val="4D374C1D"/>
    <w:rsid w:val="4D554E53"/>
    <w:rsid w:val="4EE57B26"/>
    <w:rsid w:val="4F126244"/>
    <w:rsid w:val="4F3C3286"/>
    <w:rsid w:val="4F522B04"/>
    <w:rsid w:val="505D3356"/>
    <w:rsid w:val="50755C40"/>
    <w:rsid w:val="52A81298"/>
    <w:rsid w:val="530B2EB0"/>
    <w:rsid w:val="537266A8"/>
    <w:rsid w:val="54535D12"/>
    <w:rsid w:val="54BC68E9"/>
    <w:rsid w:val="55FF7500"/>
    <w:rsid w:val="567452C6"/>
    <w:rsid w:val="572872CD"/>
    <w:rsid w:val="57AE473C"/>
    <w:rsid w:val="585926B0"/>
    <w:rsid w:val="59346F6D"/>
    <w:rsid w:val="599C5AF3"/>
    <w:rsid w:val="5A1D3320"/>
    <w:rsid w:val="5B4118E6"/>
    <w:rsid w:val="5B7A6EB2"/>
    <w:rsid w:val="5BDC3DF1"/>
    <w:rsid w:val="5C3100BD"/>
    <w:rsid w:val="5D991520"/>
    <w:rsid w:val="5DD0447F"/>
    <w:rsid w:val="5E892AF6"/>
    <w:rsid w:val="5F576D1C"/>
    <w:rsid w:val="5FD63725"/>
    <w:rsid w:val="5FFF6FEB"/>
    <w:rsid w:val="60EC50EB"/>
    <w:rsid w:val="6197787D"/>
    <w:rsid w:val="61A12E63"/>
    <w:rsid w:val="62D53B1D"/>
    <w:rsid w:val="63FF7D93"/>
    <w:rsid w:val="6476008C"/>
    <w:rsid w:val="651C7994"/>
    <w:rsid w:val="65480856"/>
    <w:rsid w:val="6AAA25E1"/>
    <w:rsid w:val="6ACD3F5E"/>
    <w:rsid w:val="6CB128A8"/>
    <w:rsid w:val="6CFD68A3"/>
    <w:rsid w:val="6D2117D7"/>
    <w:rsid w:val="6D335910"/>
    <w:rsid w:val="6F230C44"/>
    <w:rsid w:val="70831B00"/>
    <w:rsid w:val="70D234C9"/>
    <w:rsid w:val="71547069"/>
    <w:rsid w:val="733D7365"/>
    <w:rsid w:val="73A2144A"/>
    <w:rsid w:val="74CD4B7C"/>
    <w:rsid w:val="7530505A"/>
    <w:rsid w:val="756E70B0"/>
    <w:rsid w:val="75E369E5"/>
    <w:rsid w:val="75F24133"/>
    <w:rsid w:val="76040913"/>
    <w:rsid w:val="762A54DD"/>
    <w:rsid w:val="76B05657"/>
    <w:rsid w:val="76EF2F9A"/>
    <w:rsid w:val="773562DD"/>
    <w:rsid w:val="775E21F8"/>
    <w:rsid w:val="77900C54"/>
    <w:rsid w:val="77D72CB8"/>
    <w:rsid w:val="791F5165"/>
    <w:rsid w:val="79972898"/>
    <w:rsid w:val="79E6527A"/>
    <w:rsid w:val="7B15766A"/>
    <w:rsid w:val="7B9C588E"/>
    <w:rsid w:val="7BEB4D96"/>
    <w:rsid w:val="7C5F7F1E"/>
    <w:rsid w:val="7DF2077D"/>
    <w:rsid w:val="7E197155"/>
    <w:rsid w:val="7F527452"/>
    <w:rsid w:val="7FCD2B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0"/>
    <w:pPr>
      <w:jc w:val="left"/>
    </w:pPr>
  </w:style>
  <w:style w:type="paragraph" w:styleId="3">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36</Pages>
  <Words>2208</Words>
  <Characters>12588</Characters>
  <Lines>104</Lines>
  <Paragraphs>29</Paragraphs>
  <TotalTime>162</TotalTime>
  <ScaleCrop>false</ScaleCrop>
  <LinksUpToDate>false</LinksUpToDate>
  <CharactersWithSpaces>14767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Administrator.USER-20180508TB</dc:creator>
  <cp:lastModifiedBy>CaiGou</cp:lastModifiedBy>
  <cp:lastPrinted>2021-02-06T10:50:00Z</cp:lastPrinted>
  <dcterms:modified xsi:type="dcterms:W3CDTF">2024-01-09T07:46:43Z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912966BE38E0463087E515EA7780A9F0_13</vt:lpwstr>
  </property>
</Properties>
</file>