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bookmarkStart w:id="0" w:name="_GoBack"/>
      <w:bookmarkEnd w:id="0"/>
      <w:r>
        <w:rPr>
          <w:rFonts w:ascii="方正小标宋_GBK" w:hAnsi="方正小标宋_GBK" w:eastAsia="方正小标宋_GBK" w:cs="方正小标宋_GBK"/>
          <w:i w:val="0"/>
          <w:caps w:val="0"/>
          <w:color w:val="000000"/>
          <w:spacing w:val="0"/>
          <w:sz w:val="44"/>
          <w:szCs w:val="44"/>
          <w:shd w:val="clear" w:fill="FFFFFF"/>
        </w:rPr>
        <w:t>伊州区林业有害生物防治检疫局部门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方正小标宋_GBK" w:hAnsi="方正小标宋_GBK" w:eastAsia="方正小标宋_GBK" w:cs="方正小标宋_GBK"/>
          <w:i w:val="0"/>
          <w:caps w:val="0"/>
          <w:color w:val="000000"/>
          <w:spacing w:val="0"/>
          <w:sz w:val="44"/>
          <w:szCs w:val="44"/>
          <w:shd w:val="clear" w:fill="FFFFFF"/>
        </w:rPr>
        <w:t>2021年预算公开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eastAsia="微软雅黑" w:cs="Times New Roman"/>
          <w:i w:val="0"/>
          <w:caps w:val="0"/>
          <w:color w:val="000000"/>
          <w:spacing w:val="0"/>
          <w:sz w:val="21"/>
          <w:szCs w:val="21"/>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00" w:beforeAutospacing="0" w:after="10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jc w:val="center"/>
        <w:rPr>
          <w:rFonts w:hint="default" w:ascii="Times New Roman" w:hAnsi="Times New Roman" w:cs="Times New Roman"/>
          <w:sz w:val="21"/>
          <w:szCs w:val="21"/>
        </w:rPr>
      </w:pPr>
      <w:r>
        <w:rPr>
          <w:rFonts w:ascii="黑体" w:hAnsi="宋体" w:eastAsia="黑体" w:cs="黑体"/>
          <w:i w:val="0"/>
          <w:caps w:val="0"/>
          <w:color w:val="000000"/>
          <w:spacing w:val="0"/>
          <w:sz w:val="36"/>
          <w:szCs w:val="36"/>
          <w:shd w:val="clear" w:fill="FFFFFF"/>
        </w:rPr>
        <w:t>目</w:t>
      </w:r>
      <w:r>
        <w:rPr>
          <w:rFonts w:hint="eastAsia" w:ascii="黑体" w:hAnsi="宋体" w:eastAsia="黑体" w:cs="黑体"/>
          <w:i w:val="0"/>
          <w:caps w:val="0"/>
          <w:color w:val="000000"/>
          <w:spacing w:val="0"/>
          <w:sz w:val="36"/>
          <w:szCs w:val="36"/>
          <w:shd w:val="clear" w:fill="FFFFFF"/>
        </w:rPr>
        <w:t>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883"/>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both"/>
        <w:rPr>
          <w:rFonts w:hint="default" w:ascii="Times New Roman" w:hAnsi="Times New Roman" w:cs="Times New Roman"/>
          <w:sz w:val="21"/>
          <w:szCs w:val="21"/>
        </w:rPr>
      </w:pPr>
      <w:r>
        <w:rPr>
          <w:rFonts w:ascii="仿宋_GB2312" w:hAnsi="仿宋" w:eastAsia="仿宋_GB2312" w:cs="仿宋_GB2312"/>
          <w:b/>
          <w:i w:val="0"/>
          <w:caps w:val="0"/>
          <w:color w:val="000000"/>
          <w:spacing w:val="0"/>
          <w:sz w:val="32"/>
          <w:szCs w:val="32"/>
          <w:shd w:val="clear" w:fill="FFFFFF"/>
        </w:rPr>
        <w:t>第一部分</w:t>
      </w:r>
      <w:r>
        <w:rPr>
          <w:rFonts w:hint="eastAsia" w:ascii="仿宋" w:hAnsi="仿宋" w:eastAsia="仿宋" w:cs="仿宋"/>
          <w:b/>
          <w:i w:val="0"/>
          <w:caps w:val="0"/>
          <w:color w:val="000000"/>
          <w:spacing w:val="0"/>
          <w:sz w:val="32"/>
          <w:szCs w:val="32"/>
          <w:shd w:val="clear" w:fill="FFFFFF"/>
        </w:rPr>
        <w:t>  </w:t>
      </w:r>
      <w:r>
        <w:rPr>
          <w:rFonts w:hint="eastAsia" w:ascii="仿宋_GB2312" w:hAnsi="仿宋" w:eastAsia="仿宋_GB2312" w:cs="仿宋_GB2312"/>
          <w:b/>
          <w:i w:val="0"/>
          <w:caps w:val="0"/>
          <w:color w:val="000000"/>
          <w:spacing w:val="0"/>
          <w:sz w:val="32"/>
          <w:szCs w:val="32"/>
          <w:shd w:val="clear" w:fill="FFFFFF"/>
        </w:rPr>
        <w:t>哈密市伊州区林业有害生物防治检疫局部门概况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一、主要职能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二、机构设置及人员情况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第二部分</w:t>
      </w:r>
      <w:r>
        <w:rPr>
          <w:rFonts w:hint="eastAsia" w:ascii="仿宋" w:hAnsi="仿宋" w:eastAsia="仿宋" w:cs="仿宋"/>
          <w:b/>
          <w:i w:val="0"/>
          <w:caps w:val="0"/>
          <w:color w:val="000000"/>
          <w:spacing w:val="0"/>
          <w:sz w:val="32"/>
          <w:szCs w:val="32"/>
          <w:shd w:val="clear" w:fill="FFFFFF"/>
        </w:rPr>
        <w:t>  2021年部门预算公开表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一、部门收支总体情况表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二、部门收入总体情况表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三、部门支出总体情况表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四、财政拨款收支总体情况表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五、一般公共预算支出情况表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六、一般公共预算基本支出情况表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七、一般公共预算项目支出情况表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八、一般公共预算</w:t>
      </w:r>
      <w:r>
        <w:rPr>
          <w:rFonts w:hint="eastAsia" w:ascii="仿宋" w:hAnsi="仿宋" w:eastAsia="仿宋" w:cs="仿宋"/>
          <w:i w:val="0"/>
          <w:caps w:val="0"/>
          <w:color w:val="000000"/>
          <w:spacing w:val="0"/>
          <w:sz w:val="32"/>
          <w:szCs w:val="32"/>
          <w:shd w:val="clear" w:fill="FFFFFF"/>
        </w:rPr>
        <w:t>“三公”经费支出情况表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九、政府性基金预算支出情况表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第三部分</w:t>
      </w:r>
      <w:r>
        <w:rPr>
          <w:rFonts w:hint="eastAsia" w:ascii="仿宋" w:hAnsi="仿宋" w:eastAsia="仿宋" w:cs="仿宋"/>
          <w:b/>
          <w:i w:val="0"/>
          <w:caps w:val="0"/>
          <w:color w:val="000000"/>
          <w:spacing w:val="0"/>
          <w:sz w:val="32"/>
          <w:szCs w:val="32"/>
          <w:shd w:val="clear" w:fill="FFFFFF"/>
        </w:rPr>
        <w:t>  2021年部门预算情况说明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一、关于哈密市伊州区林业有害生物防治检疫局部门</w:t>
      </w:r>
      <w:r>
        <w:rPr>
          <w:rFonts w:hint="eastAsia" w:ascii="仿宋" w:hAnsi="仿宋" w:eastAsia="仿宋" w:cs="仿宋"/>
          <w:i w:val="0"/>
          <w:caps w:val="0"/>
          <w:color w:val="000000"/>
          <w:spacing w:val="0"/>
          <w:sz w:val="32"/>
          <w:szCs w:val="32"/>
          <w:shd w:val="clear" w:fill="FFFFFF"/>
        </w:rPr>
        <w:t>2021年收支预算情况的总体说明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二、关于哈密市伊州区林业有害生物防治检疫局部门</w:t>
      </w:r>
      <w:r>
        <w:rPr>
          <w:rFonts w:hint="eastAsia" w:ascii="仿宋" w:hAnsi="仿宋" w:eastAsia="仿宋" w:cs="仿宋"/>
          <w:i w:val="0"/>
          <w:caps w:val="0"/>
          <w:color w:val="000000"/>
          <w:spacing w:val="0"/>
          <w:sz w:val="32"/>
          <w:szCs w:val="32"/>
          <w:shd w:val="clear" w:fill="FFFFFF"/>
        </w:rPr>
        <w:t>2021年收入预算情况说明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三、关于哈密市伊州区林业有害生物防治检疫局部门</w:t>
      </w:r>
      <w:r>
        <w:rPr>
          <w:rFonts w:hint="eastAsia" w:ascii="仿宋" w:hAnsi="仿宋" w:eastAsia="仿宋" w:cs="仿宋"/>
          <w:i w:val="0"/>
          <w:caps w:val="0"/>
          <w:color w:val="000000"/>
          <w:spacing w:val="0"/>
          <w:sz w:val="32"/>
          <w:szCs w:val="32"/>
          <w:shd w:val="clear" w:fill="FFFFFF"/>
        </w:rPr>
        <w:t>2021年支出预算情况说明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四、关于哈密市伊州区林业有害生物防治检疫局部门</w:t>
      </w:r>
      <w:r>
        <w:rPr>
          <w:rFonts w:hint="eastAsia" w:ascii="仿宋" w:hAnsi="仿宋" w:eastAsia="仿宋" w:cs="仿宋"/>
          <w:i w:val="0"/>
          <w:caps w:val="0"/>
          <w:color w:val="000000"/>
          <w:spacing w:val="0"/>
          <w:sz w:val="32"/>
          <w:szCs w:val="32"/>
          <w:shd w:val="clear" w:fill="FFFFFF"/>
        </w:rPr>
        <w:t>2021年财政拨款收支预算情况的总体说明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五、关于哈密市伊州区林业有害生物防治检疫局部门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2021年一般公共预算当年拨款情况说明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六、关于哈密市伊州区林业有害生物防治检疫局部门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2021年一般公共预算基本支出情况说明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七、关于哈密市伊州区林业有害生物防治检疫局部门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2021年一般公共预算项目支出情况说明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八、关于哈密市伊州区林业有害生物防治检疫局部门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2021年一般公共预算“三公”经费预算情况说明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九、关于哈密市伊州区林业有害生物防治检疫局部门</w:t>
      </w:r>
      <w:r>
        <w:rPr>
          <w:rFonts w:hint="eastAsia" w:ascii="仿宋" w:hAnsi="仿宋" w:eastAsia="仿宋" w:cs="仿宋"/>
          <w:i w:val="0"/>
          <w:caps w:val="0"/>
          <w:color w:val="000000"/>
          <w:spacing w:val="0"/>
          <w:sz w:val="32"/>
          <w:szCs w:val="32"/>
          <w:shd w:val="clear" w:fill="FFFFFF"/>
        </w:rPr>
        <w:t>2021年政府性基金预算拨款情况说明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十、其他重要事项的情况说明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第四部分</w:t>
      </w:r>
      <w:r>
        <w:rPr>
          <w:rFonts w:hint="eastAsia" w:ascii="仿宋" w:hAnsi="仿宋" w:eastAsia="仿宋" w:cs="仿宋"/>
          <w:b/>
          <w:i w:val="0"/>
          <w:caps w:val="0"/>
          <w:color w:val="000000"/>
          <w:spacing w:val="0"/>
          <w:sz w:val="32"/>
          <w:szCs w:val="32"/>
          <w:shd w:val="clear" w:fill="FFFFFF"/>
        </w:rPr>
        <w:t>  </w:t>
      </w:r>
      <w:r>
        <w:rPr>
          <w:rFonts w:hint="eastAsia" w:ascii="仿宋_GB2312" w:hAnsi="仿宋" w:eastAsia="仿宋_GB2312" w:cs="仿宋_GB2312"/>
          <w:b/>
          <w:i w:val="0"/>
          <w:caps w:val="0"/>
          <w:color w:val="000000"/>
          <w:spacing w:val="0"/>
          <w:sz w:val="32"/>
          <w:szCs w:val="32"/>
          <w:shd w:val="clear" w:fill="FFFFFF"/>
        </w:rPr>
        <w:t>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r>
        <w:rPr>
          <w:rFonts w:hint="eastAsia" w:ascii="仿宋" w:hAnsi="仿宋" w:eastAsia="仿宋" w:cs="仿宋"/>
          <w:b/>
          <w:i w:val="0"/>
          <w:caps w:val="0"/>
          <w:color w:val="000000"/>
          <w:spacing w:val="0"/>
          <w:sz w:val="32"/>
          <w:szCs w:val="32"/>
          <w:shd w:val="clear" w:fill="FFFFFF"/>
        </w:rPr>
        <w:br w:type="textWrapping"/>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center"/>
        <w:rPr>
          <w:rFonts w:hint="eastAsia" w:ascii="仿宋" w:hAnsi="仿宋" w:eastAsia="仿宋" w:cs="仿宋"/>
          <w:b/>
          <w:i w:val="0"/>
          <w:caps w:val="0"/>
          <w:color w:val="000000"/>
          <w:spacing w:val="0"/>
          <w:sz w:val="32"/>
          <w:szCs w:val="32"/>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3"/>
        <w:jc w:val="center"/>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第一部分   哈密市伊州区林业有害生物防治检疫局部门概况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40" w:lineRule="atLeast"/>
        <w:ind w:left="0" w:right="0" w:firstLine="64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一、主要职能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负责宣传贯彻执行《中华人民共和国森林法》、《森林病虫害防治条例》和《植物检疫条例》有关规定，建立各级防治管理体系，提高素质，强化管理，完善实施，形成测报，检疫，防治三个网络管理体系；制定防治计划，对实施森林植物及产品进行产地检疫和调运检疫，为调运的产品签发检疫证书；负责林业有害生物的普查和天敌资源普查，开展林业有害生物预测预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二、机构设置及人员情况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哈密市伊州区林业有害生物防治检疫局部门无下属预算单位，下设</w:t>
      </w:r>
      <w:r>
        <w:rPr>
          <w:rFonts w:hint="eastAsia" w:ascii="仿宋" w:hAnsi="仿宋" w:eastAsia="仿宋" w:cs="仿宋"/>
          <w:i w:val="0"/>
          <w:caps w:val="0"/>
          <w:color w:val="000000"/>
          <w:spacing w:val="0"/>
          <w:sz w:val="32"/>
          <w:szCs w:val="32"/>
          <w:shd w:val="clear" w:fill="FFFFFF"/>
        </w:rPr>
        <w:t>0个科室，分别是：无下设科室。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哈密市伊州区林业有害生物防治检疫局部门编制数</w:t>
      </w:r>
      <w:r>
        <w:rPr>
          <w:rFonts w:hint="eastAsia" w:ascii="仿宋" w:hAnsi="仿宋" w:eastAsia="仿宋" w:cs="仿宋"/>
          <w:i w:val="0"/>
          <w:caps w:val="0"/>
          <w:color w:val="000000"/>
          <w:spacing w:val="0"/>
          <w:sz w:val="32"/>
          <w:szCs w:val="32"/>
          <w:shd w:val="clear" w:fill="FFFFFF"/>
        </w:rPr>
        <w:t>7人，实有人数5</w:t>
      </w:r>
      <w:r>
        <w:rPr>
          <w:rFonts w:hint="eastAsia" w:ascii="仿宋_GB2312" w:hAnsi="仿宋" w:eastAsia="仿宋_GB2312" w:cs="仿宋_GB2312"/>
          <w:i w:val="0"/>
          <w:caps w:val="0"/>
          <w:color w:val="000000"/>
          <w:spacing w:val="0"/>
          <w:sz w:val="32"/>
          <w:szCs w:val="32"/>
          <w:shd w:val="clear" w:fill="FFFFFF"/>
        </w:rPr>
        <w:t>人，其中：在职</w:t>
      </w:r>
      <w:r>
        <w:rPr>
          <w:rFonts w:hint="eastAsia" w:ascii="仿宋" w:hAnsi="仿宋" w:eastAsia="仿宋" w:cs="仿宋"/>
          <w:i w:val="0"/>
          <w:caps w:val="0"/>
          <w:color w:val="000000"/>
          <w:spacing w:val="0"/>
          <w:sz w:val="32"/>
          <w:szCs w:val="32"/>
          <w:shd w:val="clear" w:fill="FFFFFF"/>
        </w:rPr>
        <w:t>2人，减少2人；退休3人，增加1人；离休0人，减少0人。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center"/>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br w:type="textWrapping"/>
      </w:r>
      <w:r>
        <w:rPr>
          <w:rFonts w:hint="eastAsia" w:ascii="黑体" w:hAnsi="宋体" w:eastAsia="黑体" w:cs="黑体"/>
          <w:i w:val="0"/>
          <w:caps w:val="0"/>
          <w:color w:val="000000"/>
          <w:spacing w:val="0"/>
          <w:sz w:val="32"/>
          <w:szCs w:val="32"/>
          <w:shd w:val="clear" w:fill="FFFFFF"/>
        </w:rPr>
        <w:t>第二部分  2021年部门预算公开表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表一：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部门收支总体情况表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编制部门：哈密市伊州区林业有害生物防治检疫局</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3"/>
        <w:tblW w:w="9450" w:type="dxa"/>
        <w:tblInd w:w="9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25"/>
        <w:gridCol w:w="2027"/>
        <w:gridCol w:w="2746"/>
        <w:gridCol w:w="2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rPr>
        <w:tc>
          <w:tcPr>
            <w:tcW w:w="4352" w:type="dxa"/>
            <w:gridSpan w:val="2"/>
            <w:tcBorders>
              <w:top w:val="single" w:color="auto" w:sz="8" w:space="0"/>
              <w:left w:val="single" w:color="auto" w:sz="8" w:space="0"/>
              <w:bottom w:val="single" w:color="auto" w:sz="8" w:space="0"/>
              <w:right w:val="single" w:color="000000"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4"/>
                <w:szCs w:val="24"/>
              </w:rPr>
              <w:t>收     入</w:t>
            </w:r>
          </w:p>
        </w:tc>
        <w:tc>
          <w:tcPr>
            <w:tcW w:w="5098" w:type="dxa"/>
            <w:gridSpan w:val="2"/>
            <w:tcBorders>
              <w:top w:val="single" w:color="auto" w:sz="8" w:space="0"/>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4"/>
                <w:szCs w:val="24"/>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项     目</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预算数</w:t>
            </w:r>
          </w:p>
        </w:tc>
        <w:tc>
          <w:tcPr>
            <w:tcW w:w="274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功能分类</w:t>
            </w:r>
          </w:p>
        </w:tc>
        <w:tc>
          <w:tcPr>
            <w:tcW w:w="2352"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财政拨款（补助）</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201 一般公共服务支出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    一般公共预算</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202 外交支出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    政府性基金预算</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203 国防支出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国有资本经营预算</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204 公共安全支出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教育收费（财政专户）</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205 教育支出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事业收入</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206 科学技术支出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事业单位经营收入</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207 文化旅游体育与传媒支出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单位其他资金收入</w:t>
            </w:r>
          </w:p>
        </w:tc>
        <w:tc>
          <w:tcPr>
            <w:tcW w:w="20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208 社会保障和就业支出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210卫生健康支出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209 社会保险基金支出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211 节能环保支出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212 城乡社区支出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213 农林水支出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27.19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214 交通运输支出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215 资源勘探工业信息等支出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216 商业服务业等支出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217 金融支出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219 援助其他地区支出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220 自然资源海洋气象等支出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221 住房保障支出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222 粮油物资储备支出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223 国有资本经营预算支出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224灾害防治及应急管理支出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227 预备费</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229 其他支出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230转移性支出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231 债务还本支出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232 债务付息支出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027"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233 债务发行费用支出</w:t>
            </w:r>
          </w:p>
        </w:tc>
        <w:tc>
          <w:tcPr>
            <w:tcW w:w="235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2027"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textAlignment w:val="center"/>
              <w:rPr>
                <w:rFonts w:hint="default" w:ascii="Times New Roman" w:hAnsi="Times New Roman" w:cs="Times New Roman"/>
                <w:sz w:val="21"/>
                <w:szCs w:val="21"/>
              </w:rPr>
            </w:pPr>
            <w:r>
              <w:rPr>
                <w:rFonts w:hint="eastAsia" w:ascii="仿宋" w:hAnsi="仿宋" w:eastAsia="仿宋" w:cs="仿宋"/>
                <w:color w:val="000000"/>
                <w:sz w:val="18"/>
                <w:szCs w:val="18"/>
              </w:rPr>
              <w:t>234 抗疫特别国债还本支出</w:t>
            </w:r>
          </w:p>
        </w:tc>
        <w:tc>
          <w:tcPr>
            <w:tcW w:w="2352"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2325" w:type="dxa"/>
            <w:tcBorders>
              <w:top w:val="nil"/>
              <w:left w:val="single" w:color="auto" w:sz="8" w:space="0"/>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0"/>
                <w:szCs w:val="20"/>
              </w:rPr>
              <w:t>  </w:t>
            </w:r>
          </w:p>
        </w:tc>
        <w:tc>
          <w:tcPr>
            <w:tcW w:w="2027"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c>
          <w:tcPr>
            <w:tcW w:w="2746"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textAlignment w:val="center"/>
              <w:rPr>
                <w:rFonts w:hint="default" w:ascii="Times New Roman" w:hAnsi="Times New Roman" w:cs="Times New Roman"/>
                <w:sz w:val="21"/>
                <w:szCs w:val="21"/>
              </w:rPr>
            </w:pPr>
            <w:r>
              <w:rPr>
                <w:rFonts w:hint="default" w:ascii="Times New Roman" w:hAnsi="Times New Roman" w:cs="Times New Roman"/>
                <w:sz w:val="21"/>
                <w:szCs w:val="21"/>
              </w:rPr>
              <w:t> </w:t>
            </w:r>
          </w:p>
        </w:tc>
        <w:tc>
          <w:tcPr>
            <w:tcW w:w="2352"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5" w:hRule="atLeast"/>
        </w:trPr>
        <w:tc>
          <w:tcPr>
            <w:tcW w:w="2325" w:type="dxa"/>
            <w:tcBorders>
              <w:top w:val="nil"/>
              <w:left w:val="single" w:color="auto" w:sz="8" w:space="0"/>
              <w:bottom w:val="single" w:color="auto" w:sz="8" w:space="0"/>
              <w:right w:val="nil"/>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0"/>
                <w:szCs w:val="20"/>
              </w:rPr>
              <w:t>收  入  总  计</w:t>
            </w:r>
          </w:p>
        </w:tc>
        <w:tc>
          <w:tcPr>
            <w:tcW w:w="202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746" w:type="dxa"/>
            <w:tcBorders>
              <w:top w:val="nil"/>
              <w:left w:val="nil"/>
              <w:bottom w:val="single" w:color="auto" w:sz="8" w:space="0"/>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0"/>
                <w:szCs w:val="20"/>
              </w:rPr>
              <w:t>支  出  总  计</w:t>
            </w:r>
          </w:p>
        </w:tc>
        <w:tc>
          <w:tcPr>
            <w:tcW w:w="2352"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部门收入总体情况表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编制部门：哈密市伊州区林业有害生物防治检疫局</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05"/>
        <w:gridCol w:w="478"/>
        <w:gridCol w:w="478"/>
        <w:gridCol w:w="1944"/>
        <w:gridCol w:w="966"/>
        <w:gridCol w:w="784"/>
        <w:gridCol w:w="902"/>
        <w:gridCol w:w="765"/>
        <w:gridCol w:w="765"/>
        <w:gridCol w:w="552"/>
        <w:gridCol w:w="595"/>
        <w:gridCol w:w="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trPr>
        <w:tc>
          <w:tcPr>
            <w:tcW w:w="1561" w:type="dxa"/>
            <w:gridSpan w:val="3"/>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功能分类科目编码</w:t>
            </w:r>
          </w:p>
        </w:tc>
        <w:tc>
          <w:tcPr>
            <w:tcW w:w="1944"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功能分类科目名称</w:t>
            </w:r>
          </w:p>
        </w:tc>
        <w:tc>
          <w:tcPr>
            <w:tcW w:w="966"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总  计</w:t>
            </w:r>
          </w:p>
        </w:tc>
        <w:tc>
          <w:tcPr>
            <w:tcW w:w="784"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一般公共预算拨款</w:t>
            </w:r>
          </w:p>
        </w:tc>
        <w:tc>
          <w:tcPr>
            <w:tcW w:w="902"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政府性基金预算拨款</w:t>
            </w:r>
          </w:p>
        </w:tc>
        <w:tc>
          <w:tcPr>
            <w:tcW w:w="765" w:type="dxa"/>
            <w:vMerge w:val="restart"/>
            <w:tcBorders>
              <w:top w:val="single" w:color="auto" w:sz="8" w:space="0"/>
              <w:left w:val="nil"/>
              <w:bottom w:val="nil"/>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b/>
                <w:sz w:val="18"/>
                <w:szCs w:val="18"/>
              </w:rPr>
              <w:t>国有资本经营预算</w:t>
            </w:r>
          </w:p>
        </w:tc>
        <w:tc>
          <w:tcPr>
            <w:tcW w:w="765"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财政专户（教育收费）</w:t>
            </w:r>
          </w:p>
        </w:tc>
        <w:tc>
          <w:tcPr>
            <w:tcW w:w="552"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事业收入</w:t>
            </w:r>
          </w:p>
        </w:tc>
        <w:tc>
          <w:tcPr>
            <w:tcW w:w="595"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事业单位经营收入</w:t>
            </w:r>
          </w:p>
        </w:tc>
        <w:tc>
          <w:tcPr>
            <w:tcW w:w="616" w:type="dxa"/>
            <w:vMerge w:val="restart"/>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单位其他资金收入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70"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b/>
                <w:color w:val="000000"/>
                <w:sz w:val="20"/>
                <w:szCs w:val="20"/>
              </w:rPr>
              <w:t>类</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b/>
                <w:color w:val="000000"/>
                <w:sz w:val="20"/>
                <w:szCs w:val="20"/>
              </w:rPr>
              <w:t>款</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b/>
                <w:color w:val="000000"/>
                <w:sz w:val="20"/>
                <w:szCs w:val="20"/>
              </w:rPr>
              <w:t>项</w:t>
            </w:r>
          </w:p>
        </w:tc>
        <w:tc>
          <w:tcPr>
            <w:tcW w:w="1944"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eastAsia" w:ascii="Calibri" w:hAnsi="Calibri" w:cs="Calibri"/>
                <w:sz w:val="21"/>
                <w:szCs w:val="21"/>
              </w:rPr>
            </w:pPr>
          </w:p>
        </w:tc>
        <w:tc>
          <w:tcPr>
            <w:tcW w:w="966"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784"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902"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765" w:type="dxa"/>
            <w:vMerge w:val="continue"/>
            <w:tcBorders>
              <w:top w:val="single" w:color="auto" w:sz="8" w:space="0"/>
              <w:left w:val="nil"/>
              <w:bottom w:val="nil"/>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765"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52"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95"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616" w:type="dxa"/>
            <w:vMerge w:val="continue"/>
            <w:tcBorders>
              <w:top w:val="single" w:color="auto" w:sz="8" w:space="0"/>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208</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社会保障和就业支出</w:t>
            </w:r>
          </w:p>
        </w:tc>
        <w:tc>
          <w:tcPr>
            <w:tcW w:w="96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784"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902"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FFFFFF"/>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FFFFFF"/>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208</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05</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行政事业单位离退休</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0.41</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0.41</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208</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05</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05</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机关事业单位基本养老保险缴费支出</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213</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农林水支出</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213</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02</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农业</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213</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02</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04</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事业运行</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221</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住房保障支出</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221</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02</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住房改革支出</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221</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02</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01</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sz w:val="21"/>
                <w:szCs w:val="21"/>
              </w:rPr>
              <w:t>住房公积金</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605"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4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4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合  计</w:t>
            </w:r>
          </w:p>
        </w:tc>
        <w:tc>
          <w:tcPr>
            <w:tcW w:w="96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7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90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7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59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6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部门支出总体情况表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编制部门：哈密市伊州区林业有害生物防治检疫局</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81"/>
        <w:gridCol w:w="465"/>
        <w:gridCol w:w="480"/>
        <w:gridCol w:w="2852"/>
        <w:gridCol w:w="1726"/>
        <w:gridCol w:w="1416"/>
        <w:gridCol w:w="19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5" w:hRule="atLeast"/>
        </w:trPr>
        <w:tc>
          <w:tcPr>
            <w:tcW w:w="4378" w:type="dxa"/>
            <w:gridSpan w:val="4"/>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项    目</w:t>
            </w:r>
          </w:p>
        </w:tc>
        <w:tc>
          <w:tcPr>
            <w:tcW w:w="5072" w:type="dxa"/>
            <w:gridSpan w:val="3"/>
            <w:tcBorders>
              <w:top w:val="single" w:color="auto" w:sz="8" w:space="0"/>
              <w:left w:val="nil"/>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1526"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功能分类科目编码</w:t>
            </w:r>
          </w:p>
        </w:tc>
        <w:tc>
          <w:tcPr>
            <w:tcW w:w="2852"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功能分类科目名称</w:t>
            </w:r>
          </w:p>
        </w:tc>
        <w:tc>
          <w:tcPr>
            <w:tcW w:w="1726"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合  计</w:t>
            </w:r>
          </w:p>
        </w:tc>
        <w:tc>
          <w:tcPr>
            <w:tcW w:w="1416"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基本支出</w:t>
            </w:r>
          </w:p>
        </w:tc>
        <w:tc>
          <w:tcPr>
            <w:tcW w:w="1930"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16"/>
                <w:szCs w:val="16"/>
              </w:rPr>
              <w:t>类</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16"/>
                <w:szCs w:val="16"/>
              </w:rPr>
              <w:t>款</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16"/>
                <w:szCs w:val="16"/>
              </w:rPr>
              <w:t>项</w:t>
            </w:r>
          </w:p>
        </w:tc>
        <w:tc>
          <w:tcPr>
            <w:tcW w:w="2852"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726"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416"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930"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208</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社会保障和就业支出</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208</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05</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行政事业单位离退休</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208</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05</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05</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机关事业单位基本养老保险缴费支出</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2.33</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213</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农林水支出</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213</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02</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农业</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213</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02</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04</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事业运行</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27.19</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221</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住房保障支出</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221</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02</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住房改革支出</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221</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02</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 w:hAnsi="仿宋" w:eastAsia="仿宋" w:cs="仿宋"/>
                <w:sz w:val="21"/>
                <w:szCs w:val="21"/>
              </w:rPr>
              <w:t>01</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1"/>
                <w:szCs w:val="21"/>
              </w:rPr>
              <w:t>住房公积金</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仿宋" w:hAnsi="仿宋" w:eastAsia="仿宋" w:cs="仿宋"/>
                <w:sz w:val="21"/>
                <w:szCs w:val="21"/>
              </w:rPr>
              <w:t>1.75</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81"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65"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8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宋体" w:hAnsi="宋体" w:eastAsia="宋体" w:cs="宋体"/>
                <w:b/>
                <w:color w:val="000000"/>
                <w:sz w:val="22"/>
                <w:szCs w:val="22"/>
              </w:rPr>
              <w:t>合  计</w:t>
            </w:r>
          </w:p>
        </w:tc>
        <w:tc>
          <w:tcPr>
            <w:tcW w:w="17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141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193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财政拨款收支预算总体情况表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80" w:lineRule="atLeast"/>
        <w:ind w:left="0" w:right="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1"/>
          <w:szCs w:val="21"/>
          <w:shd w:val="clear" w:fill="FFFFFF"/>
        </w:rPr>
        <w:t>编制部门：哈密市伊州区林业有害生物防治检疫局</w:t>
      </w:r>
      <w:r>
        <w:rPr>
          <w:rFonts w:hint="eastAsia" w:ascii="仿宋" w:hAnsi="仿宋" w:eastAsia="仿宋" w:cs="仿宋"/>
          <w:i w:val="0"/>
          <w:caps w:val="0"/>
          <w:color w:val="000000"/>
          <w:spacing w:val="0"/>
          <w:sz w:val="21"/>
          <w:szCs w:val="21"/>
          <w:shd w:val="clear" w:fill="FFFFFF"/>
        </w:rPr>
        <w:t>                          </w:t>
      </w:r>
      <w:r>
        <w:rPr>
          <w:rFonts w:hint="eastAsia" w:ascii="仿宋_GB2312" w:hAnsi="仿宋" w:eastAsia="仿宋_GB2312" w:cs="仿宋_GB2312"/>
          <w:i w:val="0"/>
          <w:caps w:val="0"/>
          <w:color w:val="000000"/>
          <w:spacing w:val="0"/>
          <w:sz w:val="21"/>
          <w:szCs w:val="21"/>
          <w:shd w:val="clear" w:fill="FFFFFF"/>
        </w:rPr>
        <w:t>单位：万元</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04"/>
        <w:gridCol w:w="926"/>
        <w:gridCol w:w="2678"/>
        <w:gridCol w:w="1090"/>
        <w:gridCol w:w="965"/>
        <w:gridCol w:w="1008"/>
        <w:gridCol w:w="1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2630" w:type="dxa"/>
            <w:gridSpan w:val="2"/>
            <w:tcBorders>
              <w:top w:val="single" w:color="auto" w:sz="8" w:space="0"/>
              <w:left w:val="single" w:color="auto" w:sz="8" w:space="0"/>
              <w:bottom w:val="single" w:color="auto" w:sz="8" w:space="0"/>
              <w:right w:val="single" w:color="000000"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4"/>
                <w:szCs w:val="24"/>
              </w:rPr>
              <w:t>财政拨款收入</w:t>
            </w:r>
          </w:p>
        </w:tc>
        <w:tc>
          <w:tcPr>
            <w:tcW w:w="5741" w:type="dxa"/>
            <w:gridSpan w:val="4"/>
            <w:tcBorders>
              <w:top w:val="single" w:color="auto" w:sz="8" w:space="0"/>
              <w:left w:val="nil"/>
              <w:bottom w:val="single" w:color="auto" w:sz="8" w:space="0"/>
              <w:right w:val="single" w:color="000000"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4"/>
                <w:szCs w:val="24"/>
              </w:rPr>
              <w:t>财政拨款支出</w:t>
            </w:r>
          </w:p>
        </w:tc>
        <w:tc>
          <w:tcPr>
            <w:tcW w:w="1079" w:type="dxa"/>
            <w:tcBorders>
              <w:top w:val="single" w:color="auto" w:sz="8" w:space="0"/>
              <w:left w:val="nil"/>
              <w:bottom w:val="single" w:color="auto" w:sz="8" w:space="0"/>
              <w:right w:val="single" w:color="000000"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1704"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项    目</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合  计</w:t>
            </w:r>
          </w:p>
        </w:tc>
        <w:tc>
          <w:tcPr>
            <w:tcW w:w="2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功  能  分  类</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合 计</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一般公共预算</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sz w:val="20"/>
                <w:szCs w:val="20"/>
              </w:rPr>
              <w:t>政府性基金预算</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b/>
                <w:sz w:val="18"/>
                <w:szCs w:val="18"/>
              </w:rPr>
              <w:t>国有资本经营预算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财政拨款（补助）</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201 一般公共服务支出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18"/>
                <w:szCs w:val="18"/>
              </w:rPr>
              <w:t> 一般公共预算</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202 外交支出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18"/>
                <w:szCs w:val="18"/>
              </w:rPr>
              <w:t> 政府性基金预算</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203 国防支出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国有资本经营预算</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204 公共安全支出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205 教育支出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206 科学技术支出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207 文化旅游体育与传媒支出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208 社会保障和就业支出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22"/>
                <w:szCs w:val="22"/>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209 社会保险基金支出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210卫生健康支出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211 节能环保支出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212 城乡社区支出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213 农林水支出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27.19</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27.19</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214 交通运输支出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215 资源勘探工业信息等支出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216 商业服务业等支出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217 金融支出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219 援助其他地区支出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220 自然资源海洋气象等支出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221 住房保障支出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222 粮油物资储备支出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22"/>
                <w:szCs w:val="22"/>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223 国有资本经营预算支出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18"/>
                <w:szCs w:val="18"/>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224灾害防治及应急管理支出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227 预备费</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229 其他支出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230转移性支出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231 债务还本支出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232 债务付息支出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233 债务发行费用支出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22"/>
                <w:szCs w:val="22"/>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234 抗疫特别国债还本支出</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18"/>
                <w:szCs w:val="18"/>
              </w:rPr>
              <w:t>  </w:t>
            </w:r>
          </w:p>
        </w:tc>
        <w:tc>
          <w:tcPr>
            <w:tcW w:w="926" w:type="dxa"/>
            <w:tcBorders>
              <w:top w:val="nil"/>
              <w:left w:val="nil"/>
              <w:bottom w:val="single" w:color="auto" w:sz="8" w:space="0"/>
              <w:right w:val="single" w:color="auto" w:sz="8" w:space="0"/>
            </w:tcBorders>
            <w:shd w:val="clear" w:color="auto" w:fill="auto"/>
            <w:noWrap/>
            <w:tcMar>
              <w:left w:w="108" w:type="dxa"/>
              <w:right w:w="108"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color w:val="000000"/>
                <w:sz w:val="22"/>
                <w:szCs w:val="22"/>
              </w:rPr>
              <w:t>  </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04"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0"/>
                <w:szCs w:val="20"/>
              </w:rPr>
              <w:t>收  入  总  计</w:t>
            </w:r>
          </w:p>
        </w:tc>
        <w:tc>
          <w:tcPr>
            <w:tcW w:w="92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2678"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left"/>
              <w:rPr>
                <w:rFonts w:hint="default" w:ascii="Times New Roman" w:hAnsi="Times New Roman" w:cs="Times New Roman"/>
                <w:sz w:val="21"/>
                <w:szCs w:val="21"/>
              </w:rPr>
            </w:pPr>
            <w:r>
              <w:rPr>
                <w:rFonts w:hint="eastAsia" w:ascii="仿宋" w:hAnsi="仿宋" w:eastAsia="仿宋" w:cs="仿宋"/>
                <w:sz w:val="20"/>
                <w:szCs w:val="20"/>
              </w:rPr>
              <w:t>支  出  总  计</w:t>
            </w:r>
          </w:p>
        </w:tc>
        <w:tc>
          <w:tcPr>
            <w:tcW w:w="109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965"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100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079" w:type="dxa"/>
            <w:tcBorders>
              <w:top w:val="nil"/>
              <w:left w:val="nil"/>
              <w:bottom w:val="single" w:color="auto" w:sz="8" w:space="0"/>
              <w:right w:val="single" w:color="auto" w:sz="8" w:space="0"/>
            </w:tcBorders>
            <w:shd w:val="clear" w:color="auto" w:fill="auto"/>
            <w:tcMar>
              <w:left w:w="108" w:type="dxa"/>
              <w:right w:w="108"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表五：</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68"/>
        <w:gridCol w:w="492"/>
        <w:gridCol w:w="500"/>
        <w:gridCol w:w="2427"/>
        <w:gridCol w:w="1684"/>
        <w:gridCol w:w="216"/>
        <w:gridCol w:w="1626"/>
        <w:gridCol w:w="19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9450" w:type="dxa"/>
            <w:gridSpan w:val="8"/>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32"/>
                <w:szCs w:val="32"/>
              </w:rPr>
              <w:t>一般公共预算支出情况表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9" w:hRule="atLeast"/>
        </w:trPr>
        <w:tc>
          <w:tcPr>
            <w:tcW w:w="5887" w:type="dxa"/>
            <w:gridSpan w:val="6"/>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color w:val="000000"/>
                <w:sz w:val="24"/>
                <w:szCs w:val="24"/>
              </w:rPr>
              <w:t>编制部门：哈密市伊州区林业有害生物防治检疫局</w:t>
            </w:r>
          </w:p>
        </w:tc>
        <w:tc>
          <w:tcPr>
            <w:tcW w:w="3563" w:type="dxa"/>
            <w:gridSpan w:val="2"/>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color w:val="000000"/>
                <w:sz w:val="24"/>
                <w:szCs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3987" w:type="dxa"/>
            <w:gridSpan w:val="4"/>
            <w:tcBorders>
              <w:top w:val="single" w:color="auto" w:sz="8" w:space="0"/>
              <w:left w:val="single" w:color="auto" w:sz="8" w:space="0"/>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项   目</w:t>
            </w:r>
          </w:p>
        </w:tc>
        <w:tc>
          <w:tcPr>
            <w:tcW w:w="5463" w:type="dxa"/>
            <w:gridSpan w:val="4"/>
            <w:tcBorders>
              <w:top w:val="single" w:color="auto" w:sz="8" w:space="0"/>
              <w:left w:val="nil"/>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一般公共预算支出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1560" w:type="dxa"/>
            <w:gridSpan w:val="3"/>
            <w:tcBorders>
              <w:top w:val="nil"/>
              <w:left w:val="single" w:color="auto" w:sz="8" w:space="0"/>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功能分类科目编码</w:t>
            </w:r>
          </w:p>
        </w:tc>
        <w:tc>
          <w:tcPr>
            <w:tcW w:w="2427"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功能分类科目名称</w:t>
            </w:r>
          </w:p>
        </w:tc>
        <w:tc>
          <w:tcPr>
            <w:tcW w:w="1684"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合  计</w:t>
            </w:r>
          </w:p>
        </w:tc>
        <w:tc>
          <w:tcPr>
            <w:tcW w:w="1842" w:type="dxa"/>
            <w:gridSpan w:val="2"/>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基本支出</w:t>
            </w:r>
          </w:p>
        </w:tc>
        <w:tc>
          <w:tcPr>
            <w:tcW w:w="1937"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0"/>
                <w:szCs w:val="20"/>
              </w:rPr>
              <w:t>类</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0"/>
                <w:szCs w:val="20"/>
              </w:rPr>
              <w:t>款</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0"/>
                <w:szCs w:val="20"/>
              </w:rPr>
              <w:t>项</w:t>
            </w:r>
          </w:p>
        </w:tc>
        <w:tc>
          <w:tcPr>
            <w:tcW w:w="2427"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684"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842" w:type="dxa"/>
            <w:gridSpan w:val="2"/>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937"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208</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社会保障和就业支出</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208</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05</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行政事业单位离退休</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2.33</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2.33</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208</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05</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05</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机关事业单位基本养老保险缴费支出</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2.33</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2.33</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213</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农林水支出</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27.19</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27.19</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213</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农业</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27.19</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27.19</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213</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04</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事业运行</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27.19</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27.19</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221</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住房保障支出</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221</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住房改革支出</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221</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01</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宋体" w:hAnsi="宋体" w:eastAsia="宋体" w:cs="宋体"/>
                <w:sz w:val="21"/>
                <w:szCs w:val="21"/>
              </w:rPr>
              <w:t>住房公积金</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56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9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42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合  计</w:t>
            </w:r>
          </w:p>
        </w:tc>
        <w:tc>
          <w:tcPr>
            <w:tcW w:w="168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31.27</w:t>
            </w:r>
          </w:p>
        </w:tc>
        <w:tc>
          <w:tcPr>
            <w:tcW w:w="184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r>
              <w:rPr>
                <w:rFonts w:hint="eastAsia" w:ascii="宋体" w:hAnsi="宋体" w:eastAsia="宋体" w:cs="宋体"/>
                <w:sz w:val="21"/>
                <w:szCs w:val="21"/>
              </w:rPr>
              <w:t>31.27</w:t>
            </w:r>
            <w:r>
              <w:rPr>
                <w:rFonts w:hint="eastAsia" w:ascii="宋体" w:hAnsi="宋体" w:eastAsia="宋体" w:cs="宋体"/>
                <w:color w:val="000000"/>
                <w:sz w:val="20"/>
                <w:szCs w:val="20"/>
              </w:rPr>
              <w:t> </w:t>
            </w:r>
          </w:p>
        </w:tc>
        <w:tc>
          <w:tcPr>
            <w:tcW w:w="193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color w:val="000000"/>
                <w:sz w:val="20"/>
                <w:szCs w:val="20"/>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表六：</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5"/>
        <w:gridCol w:w="652"/>
        <w:gridCol w:w="577"/>
        <w:gridCol w:w="2891"/>
        <w:gridCol w:w="1701"/>
        <w:gridCol w:w="66"/>
        <w:gridCol w:w="1635"/>
        <w:gridCol w:w="1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9450" w:type="dxa"/>
            <w:gridSpan w:val="8"/>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32"/>
                <w:szCs w:val="32"/>
              </w:rPr>
              <w:t>一般公共预算基本支出情况表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9" w:hRule="atLeast"/>
        </w:trPr>
        <w:tc>
          <w:tcPr>
            <w:tcW w:w="105" w:type="dxa"/>
            <w:shd w:val="clear" w:color="auto" w:fill="auto"/>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Calibri" w:hAnsi="Calibri" w:cs="Calibri"/>
                <w:sz w:val="21"/>
                <w:szCs w:val="21"/>
              </w:rPr>
              <w:t> </w:t>
            </w:r>
          </w:p>
        </w:tc>
        <w:tc>
          <w:tcPr>
            <w:tcW w:w="5887" w:type="dxa"/>
            <w:gridSpan w:val="5"/>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color w:val="000000"/>
                <w:sz w:val="24"/>
                <w:szCs w:val="24"/>
              </w:rPr>
              <w:t>编制部门：哈密市伊州区林业有害生物防治检疫局</w:t>
            </w:r>
          </w:p>
        </w:tc>
        <w:tc>
          <w:tcPr>
            <w:tcW w:w="3458" w:type="dxa"/>
            <w:gridSpan w:val="2"/>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color w:val="000000"/>
                <w:sz w:val="24"/>
                <w:szCs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90" w:hRule="atLeast"/>
        </w:trPr>
        <w:tc>
          <w:tcPr>
            <w:tcW w:w="4225" w:type="dxa"/>
            <w:gridSpan w:val="4"/>
            <w:tcBorders>
              <w:top w:val="single" w:color="auto" w:sz="8" w:space="0"/>
              <w:left w:val="single" w:color="auto" w:sz="8" w:space="0"/>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项目</w:t>
            </w:r>
          </w:p>
        </w:tc>
        <w:tc>
          <w:tcPr>
            <w:tcW w:w="5225" w:type="dxa"/>
            <w:gridSpan w:val="4"/>
            <w:tcBorders>
              <w:top w:val="single" w:color="auto" w:sz="8" w:space="0"/>
              <w:left w:val="nil"/>
              <w:bottom w:val="single" w:color="auto" w:sz="8" w:space="0"/>
              <w:right w:val="single" w:color="000000"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5" w:hRule="atLeast"/>
        </w:trPr>
        <w:tc>
          <w:tcPr>
            <w:tcW w:w="1334" w:type="dxa"/>
            <w:gridSpan w:val="3"/>
            <w:tcBorders>
              <w:top w:val="nil"/>
              <w:left w:val="single" w:color="auto" w:sz="8" w:space="0"/>
              <w:bottom w:val="single" w:color="auto" w:sz="8" w:space="0"/>
              <w:right w:val="nil"/>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经济分类科目编码</w:t>
            </w:r>
          </w:p>
        </w:tc>
        <w:tc>
          <w:tcPr>
            <w:tcW w:w="2891" w:type="dxa"/>
            <w:vMerge w:val="restart"/>
            <w:tcBorders>
              <w:top w:val="nil"/>
              <w:left w:val="single" w:color="auto" w:sz="8" w:space="0"/>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经济分类科目名称</w:t>
            </w:r>
          </w:p>
        </w:tc>
        <w:tc>
          <w:tcPr>
            <w:tcW w:w="1701"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合  计</w:t>
            </w:r>
          </w:p>
        </w:tc>
        <w:tc>
          <w:tcPr>
            <w:tcW w:w="1701" w:type="dxa"/>
            <w:gridSpan w:val="2"/>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人员经费</w:t>
            </w:r>
          </w:p>
        </w:tc>
        <w:tc>
          <w:tcPr>
            <w:tcW w:w="1823"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1"/>
                <w:szCs w:val="21"/>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0"/>
                <w:szCs w:val="20"/>
              </w:rPr>
              <w:t>类</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0"/>
                <w:szCs w:val="20"/>
              </w:rPr>
              <w:t>款</w:t>
            </w:r>
          </w:p>
        </w:tc>
        <w:tc>
          <w:tcPr>
            <w:tcW w:w="2891" w:type="dxa"/>
            <w:vMerge w:val="continue"/>
            <w:tcBorders>
              <w:top w:val="nil"/>
              <w:left w:val="single" w:color="auto" w:sz="8" w:space="0"/>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701"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701" w:type="dxa"/>
            <w:gridSpan w:val="2"/>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823"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工资福利支出</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28.03</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28.03</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01</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基本工资</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8.26</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8.26</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津贴补贴</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6.54</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eastAsia" w:ascii="宋体" w:hAnsi="宋体" w:eastAsia="宋体" w:cs="宋体"/>
                <w:sz w:val="21"/>
                <w:szCs w:val="21"/>
              </w:rPr>
              <w:t>6.54</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03</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奖金</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0.69</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0.69</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10</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职工基本医疗保险缴费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2.15</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2.15</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12</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其他社会保障缴费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0.15</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0.15</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08</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机关事业单位基本养老保险缴费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eastAsia" w:ascii="宋体" w:hAnsi="宋体" w:eastAsia="宋体" w:cs="宋体"/>
                <w:sz w:val="21"/>
                <w:szCs w:val="21"/>
              </w:rPr>
              <w:t>2.33</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13</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住房公积金</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1.75</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301</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99</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其他工资福利支出</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6.16</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6.16</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302</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商品和服务支出</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2.83</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302</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办公经费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1.36</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302</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28</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工会经费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0.2</w:t>
            </w:r>
            <w:r>
              <w:rPr>
                <w:rFonts w:hint="default" w:ascii="Times New Roman" w:hAnsi="Times New Roman" w:cs="Times New Roman"/>
                <w:sz w:val="21"/>
                <w:szCs w:val="21"/>
              </w:rPr>
              <w:t>0</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0.2</w:t>
            </w:r>
            <w:r>
              <w:rPr>
                <w:rFonts w:hint="default" w:ascii="Times New Roman" w:hAnsi="Times New Roman" w:cs="Times New Roman"/>
                <w:sz w:val="21"/>
                <w:szCs w:val="21"/>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302</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29</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福利费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0.18</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302</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31</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公务用车运行维护费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1.09</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303</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对个人和家庭的补助支出</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0.41</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0.41</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303</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宋体" w:hAnsi="宋体" w:eastAsia="宋体" w:cs="宋体"/>
                <w:sz w:val="21"/>
                <w:szCs w:val="21"/>
              </w:rPr>
              <w:t>02</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eastAsia" w:ascii="宋体" w:hAnsi="宋体" w:eastAsia="宋体" w:cs="宋体"/>
                <w:sz w:val="21"/>
                <w:szCs w:val="21"/>
              </w:rPr>
              <w:t>退休费</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0.41</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0.41</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2" w:hRule="atLeast"/>
        </w:trPr>
        <w:tc>
          <w:tcPr>
            <w:tcW w:w="757"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89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b/>
                <w:color w:val="000000"/>
                <w:sz w:val="20"/>
                <w:szCs w:val="20"/>
              </w:rPr>
              <w:t>合  计</w:t>
            </w:r>
          </w:p>
        </w:tc>
        <w:tc>
          <w:tcPr>
            <w:tcW w:w="170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31.27</w:t>
            </w:r>
          </w:p>
        </w:tc>
        <w:tc>
          <w:tcPr>
            <w:tcW w:w="170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147"/>
              <w:jc w:val="right"/>
              <w:rPr>
                <w:rFonts w:hint="default" w:ascii="Times New Roman" w:hAnsi="Times New Roman" w:cs="Times New Roman"/>
                <w:sz w:val="21"/>
                <w:szCs w:val="21"/>
              </w:rPr>
            </w:pPr>
            <w:r>
              <w:rPr>
                <w:rFonts w:hint="eastAsia" w:ascii="宋体" w:hAnsi="宋体" w:eastAsia="宋体" w:cs="宋体"/>
                <w:sz w:val="21"/>
                <w:szCs w:val="21"/>
              </w:rPr>
              <w:t>28.44</w:t>
            </w:r>
          </w:p>
        </w:tc>
        <w:tc>
          <w:tcPr>
            <w:tcW w:w="182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2.83</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表七：</w:t>
      </w:r>
    </w:p>
    <w:tbl>
      <w:tblPr>
        <w:tblStyle w:val="3"/>
        <w:tblW w:w="96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05"/>
        <w:gridCol w:w="295"/>
        <w:gridCol w:w="82"/>
        <w:gridCol w:w="397"/>
        <w:gridCol w:w="397"/>
        <w:gridCol w:w="851"/>
        <w:gridCol w:w="1456"/>
        <w:gridCol w:w="750"/>
        <w:gridCol w:w="569"/>
        <w:gridCol w:w="536"/>
        <w:gridCol w:w="652"/>
        <w:gridCol w:w="197"/>
        <w:gridCol w:w="455"/>
        <w:gridCol w:w="578"/>
        <w:gridCol w:w="419"/>
        <w:gridCol w:w="578"/>
        <w:gridCol w:w="420"/>
        <w:gridCol w:w="420"/>
        <w:gridCol w:w="401"/>
        <w:gridCol w:w="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75" w:hRule="atLeast"/>
        </w:trPr>
        <w:tc>
          <w:tcPr>
            <w:tcW w:w="105" w:type="dxa"/>
            <w:shd w:val="clear" w:color="auto" w:fill="auto"/>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Calibri" w:hAnsi="Calibri" w:cs="Calibri"/>
                <w:sz w:val="21"/>
                <w:szCs w:val="21"/>
              </w:rPr>
              <w:t> </w:t>
            </w:r>
          </w:p>
        </w:tc>
        <w:tc>
          <w:tcPr>
            <w:tcW w:w="9453" w:type="dxa"/>
            <w:gridSpan w:val="18"/>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32"/>
                <w:szCs w:val="32"/>
              </w:rPr>
              <w:t>一般公共预算项目支出情况表</w:t>
            </w:r>
          </w:p>
        </w:tc>
        <w:tc>
          <w:tcPr>
            <w:tcW w:w="105" w:type="dxa"/>
            <w:tcBorders>
              <w:top w:val="nil"/>
              <w:left w:val="nil"/>
              <w:bottom w:val="nil"/>
              <w:right w:val="nil"/>
            </w:tcBorders>
            <w:shd w:val="clear" w:color="auto" w:fill="auto"/>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Calibri" w:hAnsi="Calibri" w:cs="Calibri"/>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9" w:hRule="atLeast"/>
        </w:trPr>
        <w:tc>
          <w:tcPr>
            <w:tcW w:w="400" w:type="dxa"/>
            <w:gridSpan w:val="2"/>
            <w:shd w:val="clear" w:color="auto" w:fill="auto"/>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default" w:ascii="Calibri" w:hAnsi="Calibri" w:cs="Calibri"/>
                <w:sz w:val="21"/>
                <w:szCs w:val="21"/>
              </w:rPr>
              <w:t> </w:t>
            </w:r>
          </w:p>
        </w:tc>
        <w:tc>
          <w:tcPr>
            <w:tcW w:w="5887" w:type="dxa"/>
            <w:gridSpan w:val="10"/>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color w:val="000000"/>
                <w:sz w:val="24"/>
                <w:szCs w:val="24"/>
              </w:rPr>
              <w:t>编制部门：哈密市伊州区林业有害生物防治检疫局</w:t>
            </w:r>
          </w:p>
        </w:tc>
        <w:tc>
          <w:tcPr>
            <w:tcW w:w="3376" w:type="dxa"/>
            <w:gridSpan w:val="8"/>
            <w:tcBorders>
              <w:top w:val="nil"/>
              <w:left w:val="nil"/>
              <w:bottom w:val="nil"/>
              <w:right w:val="nil"/>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仿宋" w:hAnsi="仿宋" w:eastAsia="仿宋" w:cs="仿宋"/>
                <w:color w:val="000000"/>
                <w:sz w:val="24"/>
                <w:szCs w:val="24"/>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0" w:hRule="atLeast"/>
        </w:trPr>
        <w:tc>
          <w:tcPr>
            <w:tcW w:w="1276" w:type="dxa"/>
            <w:gridSpan w:val="5"/>
            <w:tcBorders>
              <w:top w:val="single" w:color="auto" w:sz="8" w:space="0"/>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科 目 编 码</w:t>
            </w:r>
          </w:p>
        </w:tc>
        <w:tc>
          <w:tcPr>
            <w:tcW w:w="851" w:type="dxa"/>
            <w:vMerge w:val="restart"/>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科目</w:t>
            </w:r>
          </w:p>
        </w:tc>
        <w:tc>
          <w:tcPr>
            <w:tcW w:w="1456" w:type="dxa"/>
            <w:vMerge w:val="restart"/>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24"/>
                <w:szCs w:val="24"/>
              </w:rPr>
              <w:t>项目名称</w:t>
            </w:r>
          </w:p>
        </w:tc>
        <w:tc>
          <w:tcPr>
            <w:tcW w:w="750"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项目支出合计</w:t>
            </w:r>
          </w:p>
        </w:tc>
        <w:tc>
          <w:tcPr>
            <w:tcW w:w="569"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工资福利支出</w:t>
            </w:r>
          </w:p>
        </w:tc>
        <w:tc>
          <w:tcPr>
            <w:tcW w:w="536"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商品和服务支出</w:t>
            </w:r>
          </w:p>
        </w:tc>
        <w:tc>
          <w:tcPr>
            <w:tcW w:w="652"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对个人和家庭的补助</w:t>
            </w:r>
          </w:p>
        </w:tc>
        <w:tc>
          <w:tcPr>
            <w:tcW w:w="652" w:type="dxa"/>
            <w:gridSpan w:val="2"/>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债务利息及费用支出</w:t>
            </w:r>
          </w:p>
        </w:tc>
        <w:tc>
          <w:tcPr>
            <w:tcW w:w="578"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资本性支出（基本建设）</w:t>
            </w:r>
          </w:p>
        </w:tc>
        <w:tc>
          <w:tcPr>
            <w:tcW w:w="419"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资本性支出</w:t>
            </w:r>
          </w:p>
        </w:tc>
        <w:tc>
          <w:tcPr>
            <w:tcW w:w="578"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对企业补助（基本建设）</w:t>
            </w:r>
          </w:p>
        </w:tc>
        <w:tc>
          <w:tcPr>
            <w:tcW w:w="420"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对企业补助</w:t>
            </w:r>
          </w:p>
        </w:tc>
        <w:tc>
          <w:tcPr>
            <w:tcW w:w="420"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对社会保障基金补助</w:t>
            </w:r>
          </w:p>
        </w:tc>
        <w:tc>
          <w:tcPr>
            <w:tcW w:w="506" w:type="dxa"/>
            <w:gridSpan w:val="2"/>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sz w:val="18"/>
                <w:szCs w:val="18"/>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7" w:hRule="atLeast"/>
        </w:trPr>
        <w:tc>
          <w:tcPr>
            <w:tcW w:w="482" w:type="dxa"/>
            <w:gridSpan w:val="3"/>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sz w:val="18"/>
                <w:szCs w:val="18"/>
              </w:rPr>
              <w:t>类</w:t>
            </w:r>
          </w:p>
        </w:tc>
        <w:tc>
          <w:tcPr>
            <w:tcW w:w="397"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sz w:val="18"/>
                <w:szCs w:val="18"/>
              </w:rPr>
              <w:t>款</w:t>
            </w:r>
          </w:p>
        </w:tc>
        <w:tc>
          <w:tcPr>
            <w:tcW w:w="397"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sz w:val="18"/>
                <w:szCs w:val="18"/>
              </w:rPr>
              <w:t>项</w:t>
            </w:r>
          </w:p>
        </w:tc>
        <w:tc>
          <w:tcPr>
            <w:tcW w:w="851" w:type="dxa"/>
            <w:vMerge w:val="continue"/>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rPr>
                <w:rFonts w:hint="default" w:ascii="Calibri" w:hAnsi="Calibri" w:cs="Calibri"/>
                <w:sz w:val="21"/>
                <w:szCs w:val="21"/>
              </w:rPr>
            </w:pPr>
          </w:p>
        </w:tc>
        <w:tc>
          <w:tcPr>
            <w:tcW w:w="1456" w:type="dxa"/>
            <w:vMerge w:val="continue"/>
            <w:tcBorders>
              <w:top w:val="single" w:color="auto" w:sz="8" w:space="0"/>
              <w:left w:val="nil"/>
              <w:bottom w:val="single" w:color="auto" w:sz="8" w:space="0"/>
              <w:right w:val="single" w:color="auto" w:sz="8" w:space="0"/>
            </w:tcBorders>
            <w:shd w:val="clear" w:color="auto" w:fill="auto"/>
            <w:noWrap/>
            <w:tcMar>
              <w:left w:w="108" w:type="dxa"/>
              <w:right w:w="108" w:type="dxa"/>
            </w:tcMar>
            <w:vAlign w:val="center"/>
          </w:tcPr>
          <w:p>
            <w:pPr>
              <w:rPr>
                <w:rFonts w:hint="default" w:ascii="Calibri" w:hAnsi="Calibri" w:cs="Calibri"/>
                <w:sz w:val="21"/>
                <w:szCs w:val="21"/>
              </w:rPr>
            </w:pPr>
          </w:p>
        </w:tc>
        <w:tc>
          <w:tcPr>
            <w:tcW w:w="750"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69"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36"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652"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652" w:type="dxa"/>
            <w:gridSpan w:val="2"/>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78"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419"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78"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420"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420"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506" w:type="dxa"/>
            <w:gridSpan w:val="2"/>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85" w:hRule="atLeast"/>
        </w:trPr>
        <w:tc>
          <w:tcPr>
            <w:tcW w:w="482"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397"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5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5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6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36"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652"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1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2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506"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28"/>
          <w:szCs w:val="28"/>
          <w:shd w:val="clear" w:fill="FFFFFF"/>
        </w:rPr>
        <w:t>备注：我单位本年无项目预算安排，此表为空表。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表八：</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一般公共预算</w:t>
      </w:r>
      <w:r>
        <w:rPr>
          <w:rFonts w:hint="eastAsia" w:ascii="仿宋" w:hAnsi="仿宋" w:eastAsia="仿宋" w:cs="仿宋"/>
          <w:b/>
          <w:i w:val="0"/>
          <w:caps w:val="0"/>
          <w:color w:val="000000"/>
          <w:spacing w:val="0"/>
          <w:sz w:val="32"/>
          <w:szCs w:val="32"/>
          <w:shd w:val="clear" w:fill="FFFFFF"/>
        </w:rPr>
        <w:t>“三公”经费支出情况表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编制部门：哈密市伊州区林业有害生物防治检疫局</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598"/>
        <w:gridCol w:w="1438"/>
        <w:gridCol w:w="1582"/>
        <w:gridCol w:w="1439"/>
        <w:gridCol w:w="1582"/>
        <w:gridCol w:w="18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46" w:hRule="atLeast"/>
        </w:trPr>
        <w:tc>
          <w:tcPr>
            <w:tcW w:w="1598" w:type="dxa"/>
            <w:vMerge w:val="restart"/>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合  计</w:t>
            </w:r>
          </w:p>
        </w:tc>
        <w:tc>
          <w:tcPr>
            <w:tcW w:w="1438"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因公出国（境）费</w:t>
            </w:r>
          </w:p>
        </w:tc>
        <w:tc>
          <w:tcPr>
            <w:tcW w:w="4603" w:type="dxa"/>
            <w:gridSpan w:val="3"/>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公务用车购置及运行费</w:t>
            </w:r>
          </w:p>
        </w:tc>
        <w:tc>
          <w:tcPr>
            <w:tcW w:w="1811" w:type="dxa"/>
            <w:vMerge w:val="restart"/>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宋体" w:hAnsi="宋体" w:eastAsia="宋体" w:cs="宋体"/>
                <w:b/>
                <w:color w:val="000000"/>
                <w:sz w:val="22"/>
                <w:szCs w:val="22"/>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10" w:hRule="atLeast"/>
        </w:trPr>
        <w:tc>
          <w:tcPr>
            <w:tcW w:w="1598" w:type="dxa"/>
            <w:vMerge w:val="continue"/>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eastAsia" w:ascii="仿宋" w:hAnsi="仿宋" w:eastAsia="仿宋" w:cs="仿宋"/>
                <w:b/>
                <w:color w:val="000000"/>
                <w:sz w:val="22"/>
                <w:szCs w:val="22"/>
              </w:rPr>
              <w:t>合计</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合  计</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公务用车购置费</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default" w:ascii="Times New Roman" w:hAnsi="Times New Roman" w:cs="Times New Roman"/>
                <w:sz w:val="21"/>
                <w:szCs w:val="21"/>
              </w:rPr>
            </w:pPr>
            <w:r>
              <w:rPr>
                <w:rFonts w:hint="eastAsia" w:ascii="仿宋" w:hAnsi="仿宋" w:eastAsia="仿宋" w:cs="仿宋"/>
                <w:b/>
                <w:color w:val="000000"/>
                <w:sz w:val="22"/>
                <w:szCs w:val="22"/>
              </w:rPr>
              <w:t>公务用车运行费</w:t>
            </w:r>
          </w:p>
        </w:tc>
        <w:tc>
          <w:tcPr>
            <w:tcW w:w="1811" w:type="dxa"/>
            <w:vMerge w:val="continue"/>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92" w:hRule="atLeast"/>
        </w:trPr>
        <w:tc>
          <w:tcPr>
            <w:tcW w:w="159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1.09</w:t>
            </w: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1.09</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eastAsia" w:ascii="宋体" w:hAnsi="宋体" w:eastAsia="宋体" w:cs="宋体"/>
                <w:sz w:val="21"/>
                <w:szCs w:val="21"/>
              </w:rPr>
              <w:t>1.09</w:t>
            </w:r>
          </w:p>
        </w:tc>
        <w:tc>
          <w:tcPr>
            <w:tcW w:w="181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58" w:hRule="atLeast"/>
        </w:trPr>
        <w:tc>
          <w:tcPr>
            <w:tcW w:w="159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1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55" w:hRule="atLeast"/>
        </w:trPr>
        <w:tc>
          <w:tcPr>
            <w:tcW w:w="159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1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3" w:hRule="atLeast"/>
        </w:trPr>
        <w:tc>
          <w:tcPr>
            <w:tcW w:w="159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1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3" w:hRule="atLeast"/>
        </w:trPr>
        <w:tc>
          <w:tcPr>
            <w:tcW w:w="1598"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582"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811"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 w:hAnsi="仿宋" w:eastAsia="仿宋" w:cs="仿宋"/>
          <w:b/>
          <w:i w:val="0"/>
          <w:caps w:val="0"/>
          <w:color w:val="000000"/>
          <w:spacing w:val="0"/>
          <w:sz w:val="28"/>
          <w:szCs w:val="28"/>
          <w:shd w:val="clear" w:fill="FFFFFF"/>
        </w:rPr>
        <w:br w:type="textWrapping"/>
      </w:r>
      <w:r>
        <w:rPr>
          <w:rFonts w:hint="eastAsia" w:ascii="仿宋_GB2312" w:hAnsi="仿宋" w:eastAsia="仿宋_GB2312" w:cs="仿宋_GB2312"/>
          <w:b/>
          <w:i w:val="0"/>
          <w:caps w:val="0"/>
          <w:color w:val="000000"/>
          <w:spacing w:val="0"/>
          <w:sz w:val="32"/>
          <w:szCs w:val="32"/>
          <w:shd w:val="clear" w:fill="FFFFFF"/>
        </w:rPr>
        <w:t>表九：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32"/>
          <w:szCs w:val="32"/>
          <w:shd w:val="clear" w:fill="FFFFFF"/>
        </w:rPr>
        <w:t>政府性基金预算支出情况表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24"/>
          <w:szCs w:val="24"/>
          <w:shd w:val="clear" w:fill="FFFFFF"/>
        </w:rPr>
        <w:t>编制部门：哈密市伊州区林业有害生物防治检疫局</w:t>
      </w:r>
      <w:r>
        <w:rPr>
          <w:rFonts w:hint="eastAsia" w:ascii="仿宋" w:hAnsi="仿宋" w:eastAsia="仿宋" w:cs="仿宋"/>
          <w:i w:val="0"/>
          <w:caps w:val="0"/>
          <w:color w:val="000000"/>
          <w:spacing w:val="0"/>
          <w:sz w:val="24"/>
          <w:szCs w:val="24"/>
          <w:shd w:val="clear" w:fill="FFFFFF"/>
        </w:rPr>
        <w:t>                </w:t>
      </w:r>
      <w:r>
        <w:rPr>
          <w:rFonts w:hint="eastAsia" w:ascii="仿宋_GB2312" w:hAnsi="仿宋" w:eastAsia="仿宋_GB2312" w:cs="仿宋_GB2312"/>
          <w:i w:val="0"/>
          <w:caps w:val="0"/>
          <w:color w:val="000000"/>
          <w:spacing w:val="0"/>
          <w:sz w:val="24"/>
          <w:szCs w:val="24"/>
          <w:shd w:val="clear" w:fill="FFFFFF"/>
        </w:rPr>
        <w:t>单位：万元</w:t>
      </w:r>
    </w:p>
    <w:tbl>
      <w:tblPr>
        <w:tblStyle w:val="3"/>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88"/>
        <w:gridCol w:w="459"/>
        <w:gridCol w:w="703"/>
        <w:gridCol w:w="2558"/>
        <w:gridCol w:w="1678"/>
        <w:gridCol w:w="1710"/>
        <w:gridCol w:w="1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5" w:hRule="atLeast"/>
        </w:trPr>
        <w:tc>
          <w:tcPr>
            <w:tcW w:w="4308" w:type="dxa"/>
            <w:gridSpan w:val="4"/>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项  目</w:t>
            </w:r>
          </w:p>
        </w:tc>
        <w:tc>
          <w:tcPr>
            <w:tcW w:w="5142" w:type="dxa"/>
            <w:gridSpan w:val="3"/>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75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18"/>
                <w:szCs w:val="18"/>
              </w:rPr>
              <w:t>功能分类科目编码</w:t>
            </w:r>
          </w:p>
        </w:tc>
        <w:tc>
          <w:tcPr>
            <w:tcW w:w="2558"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功能分类科目名称</w:t>
            </w:r>
          </w:p>
        </w:tc>
        <w:tc>
          <w:tcPr>
            <w:tcW w:w="1678"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合 计</w:t>
            </w:r>
          </w:p>
        </w:tc>
        <w:tc>
          <w:tcPr>
            <w:tcW w:w="1710"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基本支出</w:t>
            </w:r>
          </w:p>
        </w:tc>
        <w:tc>
          <w:tcPr>
            <w:tcW w:w="1754" w:type="dxa"/>
            <w:vMerge w:val="restart"/>
            <w:tcBorders>
              <w:top w:val="nil"/>
              <w:left w:val="nil"/>
              <w:bottom w:val="single" w:color="000000"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类</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款</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项</w:t>
            </w:r>
          </w:p>
        </w:tc>
        <w:tc>
          <w:tcPr>
            <w:tcW w:w="2558"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678"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710"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c>
          <w:tcPr>
            <w:tcW w:w="1754" w:type="dxa"/>
            <w:vMerge w:val="continue"/>
            <w:tcBorders>
              <w:top w:val="nil"/>
              <w:left w:val="nil"/>
              <w:bottom w:val="single" w:color="000000" w:sz="8" w:space="0"/>
              <w:right w:val="single" w:color="auto" w:sz="8" w:space="0"/>
            </w:tcBorders>
            <w:shd w:val="clear" w:color="auto" w:fill="auto"/>
            <w:tcMar>
              <w:left w:w="108" w:type="dxa"/>
              <w:right w:w="108" w:type="dxa"/>
            </w:tcMar>
            <w:vAlign w:val="center"/>
          </w:tcPr>
          <w:p>
            <w:pPr>
              <w:rPr>
                <w:rFonts w:hint="default" w:ascii="Calibri" w:hAnsi="Calibri" w:cs="Calibri"/>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0" w:hRule="atLeast"/>
        </w:trPr>
        <w:tc>
          <w:tcPr>
            <w:tcW w:w="588" w:type="dxa"/>
            <w:tcBorders>
              <w:top w:val="nil"/>
              <w:left w:val="single" w:color="auto" w:sz="8" w:space="0"/>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459" w:type="dxa"/>
            <w:tcBorders>
              <w:top w:val="nil"/>
              <w:left w:val="nil"/>
              <w:bottom w:val="single" w:color="auto" w:sz="8" w:space="0"/>
              <w:right w:val="single" w:color="auto" w:sz="8" w:space="0"/>
            </w:tcBorders>
            <w:shd w:val="clear" w:color="auto" w:fill="auto"/>
            <w:noWrap/>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703"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both"/>
              <w:rPr>
                <w:rFonts w:hint="default" w:ascii="Times New Roman" w:hAnsi="Times New Roman" w:cs="Times New Roman"/>
                <w:sz w:val="21"/>
                <w:szCs w:val="21"/>
              </w:rPr>
            </w:pPr>
            <w:r>
              <w:rPr>
                <w:rFonts w:hint="default" w:ascii="Times New Roman" w:hAnsi="Times New Roman" w:cs="Times New Roman"/>
                <w:sz w:val="21"/>
                <w:szCs w:val="21"/>
              </w:rPr>
              <w:t> </w:t>
            </w:r>
          </w:p>
        </w:tc>
        <w:tc>
          <w:tcPr>
            <w:tcW w:w="255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0" w:lineRule="atLeast"/>
              <w:ind w:left="0" w:right="0"/>
              <w:jc w:val="center"/>
              <w:rPr>
                <w:rFonts w:hint="default" w:ascii="Times New Roman" w:hAnsi="Times New Roman" w:cs="Times New Roman"/>
                <w:sz w:val="21"/>
                <w:szCs w:val="21"/>
              </w:rPr>
            </w:pPr>
            <w:r>
              <w:rPr>
                <w:rFonts w:hint="eastAsia" w:ascii="仿宋" w:hAnsi="仿宋" w:eastAsia="仿宋" w:cs="仿宋"/>
                <w:b/>
                <w:color w:val="000000"/>
                <w:sz w:val="24"/>
                <w:szCs w:val="24"/>
              </w:rPr>
              <w:t>合  计</w:t>
            </w:r>
          </w:p>
        </w:tc>
        <w:tc>
          <w:tcPr>
            <w:tcW w:w="1678"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10"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c>
          <w:tcPr>
            <w:tcW w:w="1754" w:type="dxa"/>
            <w:tcBorders>
              <w:top w:val="nil"/>
              <w:left w:val="nil"/>
              <w:bottom w:val="single" w:color="auto" w:sz="8" w:space="0"/>
              <w:right w:val="single" w:color="auto" w:sz="8" w:space="0"/>
            </w:tcBorders>
            <w:shd w:val="clear" w:color="auto" w:fill="auto"/>
            <w:tcMar>
              <w:left w:w="108" w:type="dxa"/>
              <w:right w:w="108"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default" w:ascii="Times New Roman" w:hAnsi="Times New Roman" w:cs="Times New Roman"/>
                <w:sz w:val="21"/>
                <w:szCs w:val="21"/>
              </w:rPr>
            </w:pPr>
            <w:r>
              <w:rPr>
                <w:rFonts w:hint="default" w:ascii="Times New Roman" w:hAnsi="Times New Roman" w:cs="Times New Roman"/>
                <w:sz w:val="21"/>
                <w:szCs w:val="21"/>
              </w:rPr>
              <w:t> </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eastAsia" w:ascii="仿宋_GB2312" w:hAnsi="仿宋" w:eastAsia="仿宋_GB2312" w:cs="仿宋_GB2312"/>
          <w:b/>
          <w:i w:val="0"/>
          <w:caps w:val="0"/>
          <w:color w:val="000000"/>
          <w:spacing w:val="0"/>
          <w:sz w:val="28"/>
          <w:szCs w:val="28"/>
          <w:shd w:val="clear" w:fill="FFFFFF"/>
        </w:rPr>
        <w:t>备注：本年无政府性基金预算支出预算安排，此表为空表。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微软雅黑" w:hAnsi="微软雅黑" w:eastAsia="微软雅黑" w:cs="微软雅黑"/>
          <w:i w:val="0"/>
          <w:caps w:val="0"/>
          <w:color w:val="000000"/>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第三部分  2021年伊州区哈密市伊州区林业有害生物防治检疫局部门预算情况说明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一、关于哈密市伊州区林业有害生物防治检疫局部门2021年收支预算情况的总体说明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按照全口径预算的原则，哈密市伊州区林业有害生物防治检疫局部门</w:t>
      </w:r>
      <w:r>
        <w:rPr>
          <w:rFonts w:hint="eastAsia" w:ascii="仿宋" w:hAnsi="仿宋" w:eastAsia="仿宋" w:cs="仿宋"/>
          <w:i w:val="0"/>
          <w:caps w:val="0"/>
          <w:color w:val="000000"/>
          <w:spacing w:val="0"/>
          <w:sz w:val="32"/>
          <w:szCs w:val="32"/>
          <w:shd w:val="clear" w:fill="FFFFFF"/>
        </w:rPr>
        <w:t>2021年所有收入和支出均纳入部门预算管理。收支总预算31.27万元。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收入预算包括：一般公共预算。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支出预算包括：社会保障和就业支出、城乡社区支出、住房保障支出等。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二、关于哈密市伊州区林业有害生物防治检疫局部门2021年收入预算情况说明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哈密市伊州区林业有害生物防治检疫局部门收入预算</w:t>
      </w:r>
      <w:r>
        <w:rPr>
          <w:rFonts w:hint="eastAsia" w:ascii="仿宋" w:hAnsi="仿宋" w:eastAsia="仿宋" w:cs="仿宋"/>
          <w:i w:val="0"/>
          <w:caps w:val="0"/>
          <w:color w:val="000000"/>
          <w:spacing w:val="0"/>
          <w:sz w:val="32"/>
          <w:szCs w:val="32"/>
          <w:shd w:val="clear" w:fill="FFFFFF"/>
        </w:rPr>
        <w:t>31.27万元，其中：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一般公共预算</w:t>
      </w:r>
      <w:r>
        <w:rPr>
          <w:rFonts w:hint="eastAsia" w:ascii="仿宋" w:hAnsi="仿宋" w:eastAsia="仿宋" w:cs="仿宋"/>
          <w:i w:val="0"/>
          <w:caps w:val="0"/>
          <w:color w:val="000000"/>
          <w:spacing w:val="0"/>
          <w:sz w:val="32"/>
          <w:szCs w:val="32"/>
          <w:shd w:val="clear" w:fill="FFFFFF"/>
        </w:rPr>
        <w:t>31.27万元，占100%，比上年</w:t>
      </w:r>
      <w:r>
        <w:rPr>
          <w:rFonts w:hint="eastAsia" w:ascii="仿宋" w:hAnsi="仿宋" w:eastAsia="仿宋" w:cs="仿宋"/>
          <w:i w:val="0"/>
          <w:caps w:val="0"/>
          <w:color w:val="000000"/>
          <w:spacing w:val="0"/>
          <w:sz w:val="32"/>
          <w:szCs w:val="32"/>
          <w:shd w:val="clear" w:fill="FFFFFF"/>
          <w:lang w:val="en-US" w:eastAsia="zh-CN"/>
        </w:rPr>
        <w:t>预算</w:t>
      </w:r>
      <w:r>
        <w:rPr>
          <w:rFonts w:hint="eastAsia" w:ascii="仿宋" w:hAnsi="仿宋" w:eastAsia="仿宋" w:cs="仿宋"/>
          <w:i w:val="0"/>
          <w:caps w:val="0"/>
          <w:color w:val="000000"/>
          <w:spacing w:val="0"/>
          <w:sz w:val="32"/>
          <w:szCs w:val="32"/>
          <w:shd w:val="clear" w:fill="FFFFFF"/>
        </w:rPr>
        <w:t>减少29.78万元，主要原因是退休人员增加，人员经费减少。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政府性基金预算未安排。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国有资本经营预算未安排。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三、关于哈密市伊州区林业有害生物防治检疫局部门2021年支出预算情况说明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r>
        <w:rPr>
          <w:rFonts w:hint="eastAsia" w:ascii="仿宋" w:hAnsi="仿宋" w:eastAsia="仿宋" w:cs="仿宋"/>
          <w:i w:val="0"/>
          <w:caps w:val="0"/>
          <w:color w:val="000000"/>
          <w:spacing w:val="0"/>
          <w:sz w:val="32"/>
          <w:szCs w:val="32"/>
          <w:shd w:val="clear" w:fill="FFFFFF"/>
        </w:rPr>
        <w:t>2021年支出预算31.27万元，其中：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基本支出</w:t>
      </w:r>
      <w:r>
        <w:rPr>
          <w:rFonts w:hint="eastAsia" w:ascii="仿宋" w:hAnsi="仿宋" w:eastAsia="仿宋" w:cs="仿宋"/>
          <w:i w:val="0"/>
          <w:caps w:val="0"/>
          <w:color w:val="000000"/>
          <w:spacing w:val="0"/>
          <w:sz w:val="32"/>
          <w:szCs w:val="32"/>
          <w:shd w:val="clear" w:fill="FFFFFF"/>
        </w:rPr>
        <w:t>31.27万元，占100%，比上年</w:t>
      </w:r>
      <w:r>
        <w:rPr>
          <w:rFonts w:hint="eastAsia" w:ascii="仿宋" w:hAnsi="仿宋" w:eastAsia="仿宋" w:cs="仿宋"/>
          <w:i w:val="0"/>
          <w:caps w:val="0"/>
          <w:color w:val="000000"/>
          <w:spacing w:val="0"/>
          <w:sz w:val="32"/>
          <w:szCs w:val="32"/>
          <w:shd w:val="clear" w:fill="FFFFFF"/>
          <w:lang w:val="en-US" w:eastAsia="zh-CN"/>
        </w:rPr>
        <w:t>预算</w:t>
      </w:r>
      <w:r>
        <w:rPr>
          <w:rFonts w:hint="eastAsia" w:ascii="仿宋" w:hAnsi="仿宋" w:eastAsia="仿宋" w:cs="仿宋"/>
          <w:i w:val="0"/>
          <w:caps w:val="0"/>
          <w:color w:val="000000"/>
          <w:spacing w:val="0"/>
          <w:sz w:val="32"/>
          <w:szCs w:val="32"/>
          <w:shd w:val="clear" w:fill="FFFFFF"/>
        </w:rPr>
        <w:t>减少29.78万元，主要原因是退休人员增加，人员经费减少。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项目支出</w:t>
      </w:r>
      <w:r>
        <w:rPr>
          <w:rFonts w:hint="eastAsia" w:ascii="仿宋" w:hAnsi="仿宋" w:eastAsia="仿宋" w:cs="仿宋"/>
          <w:i w:val="0"/>
          <w:caps w:val="0"/>
          <w:color w:val="000000"/>
          <w:spacing w:val="0"/>
          <w:sz w:val="32"/>
          <w:szCs w:val="32"/>
          <w:shd w:val="clear" w:fill="FFFFFF"/>
        </w:rPr>
        <w:t>0万元，占0%，比上年</w:t>
      </w:r>
      <w:r>
        <w:rPr>
          <w:rFonts w:hint="eastAsia" w:ascii="仿宋" w:hAnsi="仿宋" w:eastAsia="仿宋" w:cs="仿宋"/>
          <w:i w:val="0"/>
          <w:caps w:val="0"/>
          <w:color w:val="000000"/>
          <w:spacing w:val="0"/>
          <w:sz w:val="32"/>
          <w:szCs w:val="32"/>
          <w:shd w:val="clear" w:fill="FFFFFF"/>
          <w:lang w:val="en-US" w:eastAsia="zh-CN"/>
        </w:rPr>
        <w:t>预算</w:t>
      </w:r>
      <w:r>
        <w:rPr>
          <w:rFonts w:hint="eastAsia" w:ascii="仿宋" w:hAnsi="仿宋" w:eastAsia="仿宋" w:cs="仿宋"/>
          <w:i w:val="0"/>
          <w:caps w:val="0"/>
          <w:color w:val="000000"/>
          <w:spacing w:val="0"/>
          <w:sz w:val="32"/>
          <w:szCs w:val="32"/>
          <w:shd w:val="clear" w:fill="FFFFFF"/>
        </w:rPr>
        <w:t>增加0万元，主要原因是本年无项目预算安排。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四、关于哈密市伊州区林业有害生物防治检疫局部门2021年财政拨款收支预算情况的总体说明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2021年财政拨款收支总预算31.27万元。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16"/>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6"/>
          <w:sz w:val="32"/>
          <w:szCs w:val="32"/>
          <w:shd w:val="clear" w:fill="FFFFFF"/>
        </w:rPr>
        <w:t>收入全部为一般公共预算拨款，无政府性基金预算拨款和国有资本经营预算。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收入预算包括：一般公共预算拨款</w:t>
      </w:r>
      <w:r>
        <w:rPr>
          <w:rFonts w:hint="eastAsia" w:ascii="仿宋" w:hAnsi="仿宋" w:eastAsia="仿宋" w:cs="仿宋"/>
          <w:i w:val="0"/>
          <w:caps w:val="0"/>
          <w:color w:val="000000"/>
          <w:spacing w:val="0"/>
          <w:sz w:val="32"/>
          <w:szCs w:val="32"/>
          <w:shd w:val="clear" w:fill="FFFFFF"/>
        </w:rPr>
        <w:t>31.27万元。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支出预算包括：</w:t>
      </w:r>
      <w:r>
        <w:rPr>
          <w:rFonts w:hint="eastAsia" w:ascii="仿宋" w:hAnsi="仿宋" w:eastAsia="仿宋" w:cs="仿宋"/>
          <w:i w:val="0"/>
          <w:caps w:val="0"/>
          <w:color w:val="000000"/>
          <w:spacing w:val="0"/>
          <w:sz w:val="32"/>
          <w:szCs w:val="32"/>
          <w:shd w:val="clear" w:fill="FFFFFF"/>
        </w:rPr>
        <w:t>208社会保障和就业支出2.33万元，主要用于社会保障缴费；213农林水支出27.19万元，主要用于</w:t>
      </w:r>
      <w:r>
        <w:rPr>
          <w:rFonts w:hint="eastAsia" w:ascii="仿宋_GB2312" w:hAnsi="仿宋" w:eastAsia="仿宋_GB2312" w:cs="仿宋_GB2312"/>
          <w:i w:val="0"/>
          <w:caps w:val="0"/>
          <w:color w:val="000000"/>
          <w:spacing w:val="0"/>
          <w:sz w:val="32"/>
          <w:szCs w:val="32"/>
          <w:shd w:val="clear" w:fill="FFFFFF"/>
        </w:rPr>
        <w:t>保障机关正常运行的人员经费、公用经费；</w:t>
      </w:r>
      <w:r>
        <w:rPr>
          <w:rFonts w:hint="eastAsia" w:ascii="仿宋" w:hAnsi="仿宋" w:eastAsia="仿宋" w:cs="仿宋"/>
          <w:i w:val="0"/>
          <w:caps w:val="0"/>
          <w:color w:val="000000"/>
          <w:spacing w:val="0"/>
          <w:sz w:val="32"/>
          <w:szCs w:val="32"/>
          <w:shd w:val="clear" w:fill="FFFFFF"/>
        </w:rPr>
        <w:t>221住房保障支出1.75万元，主要用于住房公积金缴费支出</w:t>
      </w:r>
      <w:r>
        <w:rPr>
          <w:rFonts w:hint="eastAsia" w:ascii="仿宋_GB2312" w:hAnsi="仿宋" w:eastAsia="仿宋_GB2312" w:cs="仿宋_GB2312"/>
          <w:i w:val="0"/>
          <w:caps w:val="0"/>
          <w:color w:val="000000"/>
          <w:spacing w:val="0"/>
          <w:sz w:val="32"/>
          <w:szCs w:val="32"/>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五、关于哈密市伊州区林业有害生物防治检疫局部门2021年一般公共预算当年拨款情况说明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ascii="楷体_GB2312" w:hAnsi="楷体" w:eastAsia="楷体_GB2312" w:cs="楷体_GB2312"/>
          <w:b/>
          <w:i w:val="0"/>
          <w:caps w:val="0"/>
          <w:color w:val="000000"/>
          <w:spacing w:val="0"/>
          <w:sz w:val="32"/>
          <w:szCs w:val="32"/>
          <w:shd w:val="clear" w:fill="FFFFFF"/>
        </w:rPr>
        <w:t>（一）一般公共预算当年拨款规模变化情况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2021年一般公共预算拨款共计31.27万元，其中：基本支出31.27万元，比上年预算减少29.78万元，下降48.78%。主要原因是：人员减少，人员工资减少</w:t>
      </w:r>
      <w:r>
        <w:rPr>
          <w:rFonts w:hint="eastAsia" w:ascii="仿宋_GB2312" w:hAnsi="仿宋" w:eastAsia="仿宋_GB2312" w:cs="仿宋_GB2312"/>
          <w:i w:val="0"/>
          <w:caps w:val="0"/>
          <w:color w:val="000000"/>
          <w:spacing w:val="-6"/>
          <w:sz w:val="32"/>
          <w:szCs w:val="32"/>
          <w:shd w:val="clear" w:fill="FFFFFF"/>
        </w:rPr>
        <w:t>；项目支出</w:t>
      </w:r>
      <w:r>
        <w:rPr>
          <w:rFonts w:hint="eastAsia" w:ascii="仿宋" w:hAnsi="仿宋" w:eastAsia="仿宋" w:cs="仿宋"/>
          <w:i w:val="0"/>
          <w:caps w:val="0"/>
          <w:color w:val="000000"/>
          <w:spacing w:val="-6"/>
          <w:sz w:val="32"/>
          <w:szCs w:val="32"/>
          <w:shd w:val="clear" w:fill="FFFFFF"/>
        </w:rPr>
        <w:t>0万元，比上年预算</w:t>
      </w:r>
      <w:r>
        <w:rPr>
          <w:rFonts w:hint="eastAsia" w:ascii="仿宋_GB2312" w:hAnsi="仿宋" w:eastAsia="仿宋_GB2312" w:cs="仿宋_GB2312"/>
          <w:i w:val="0"/>
          <w:caps w:val="0"/>
          <w:color w:val="000000"/>
          <w:spacing w:val="0"/>
          <w:sz w:val="32"/>
          <w:szCs w:val="32"/>
          <w:shd w:val="clear" w:fill="FFFFFF"/>
        </w:rPr>
        <w:t>增加</w:t>
      </w:r>
      <w:r>
        <w:rPr>
          <w:rFonts w:hint="eastAsia" w:ascii="仿宋" w:hAnsi="仿宋" w:eastAsia="仿宋" w:cs="仿宋"/>
          <w:i w:val="0"/>
          <w:caps w:val="0"/>
          <w:color w:val="000000"/>
          <w:spacing w:val="0"/>
          <w:sz w:val="32"/>
          <w:szCs w:val="32"/>
          <w:shd w:val="clear" w:fill="FFFFFF"/>
        </w:rPr>
        <w:t>0</w:t>
      </w:r>
      <w:r>
        <w:rPr>
          <w:rFonts w:hint="eastAsia" w:ascii="仿宋_GB2312" w:hAnsi="仿宋" w:eastAsia="仿宋_GB2312" w:cs="仿宋_GB2312"/>
          <w:i w:val="0"/>
          <w:caps w:val="0"/>
          <w:color w:val="000000"/>
          <w:spacing w:val="0"/>
          <w:sz w:val="32"/>
          <w:szCs w:val="32"/>
          <w:shd w:val="clear" w:fill="FFFFFF"/>
        </w:rPr>
        <w:t>万元</w:t>
      </w:r>
      <w:r>
        <w:rPr>
          <w:rFonts w:hint="eastAsia" w:ascii="仿宋_GB2312" w:hAnsi="仿宋" w:eastAsia="仿宋_GB2312" w:cs="仿宋_GB2312"/>
          <w:i w:val="0"/>
          <w:caps w:val="0"/>
          <w:color w:val="000000"/>
          <w:spacing w:val="-6"/>
          <w:sz w:val="32"/>
          <w:szCs w:val="32"/>
          <w:shd w:val="clear" w:fill="FFFFFF"/>
        </w:rPr>
        <w:t>，增长</w:t>
      </w:r>
      <w:r>
        <w:rPr>
          <w:rFonts w:hint="eastAsia" w:ascii="仿宋" w:hAnsi="仿宋" w:eastAsia="仿宋" w:cs="仿宋"/>
          <w:i w:val="0"/>
          <w:caps w:val="0"/>
          <w:color w:val="000000"/>
          <w:spacing w:val="-6"/>
          <w:sz w:val="32"/>
          <w:szCs w:val="32"/>
          <w:shd w:val="clear" w:fill="FFFFFF"/>
        </w:rPr>
        <w:t>0%，主要原因是：本年未安排一般公共预算</w:t>
      </w:r>
      <w:r>
        <w:rPr>
          <w:rFonts w:hint="eastAsia" w:ascii="仿宋_GB2312" w:hAnsi="仿宋" w:eastAsia="仿宋_GB2312" w:cs="仿宋_GB2312"/>
          <w:i w:val="0"/>
          <w:caps w:val="0"/>
          <w:color w:val="000000"/>
          <w:spacing w:val="-6"/>
          <w:sz w:val="32"/>
          <w:szCs w:val="32"/>
          <w:shd w:val="clear" w:fill="FFFFFF"/>
        </w:rPr>
        <w:t>项目支出预算。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（二）一般公共预算当年拨款结构情况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1.</w:t>
      </w:r>
      <w:r>
        <w:rPr>
          <w:rFonts w:hint="eastAsia" w:ascii="仿宋_GB2312" w:hAnsi="仿宋" w:eastAsia="仿宋_GB2312" w:cs="仿宋_GB2312"/>
          <w:i w:val="0"/>
          <w:caps w:val="0"/>
          <w:color w:val="000000"/>
          <w:spacing w:val="0"/>
          <w:sz w:val="32"/>
          <w:szCs w:val="32"/>
          <w:shd w:val="clear" w:fill="FFFFFF"/>
        </w:rPr>
        <w:t>社会保障和就业支出（</w:t>
      </w:r>
      <w:r>
        <w:rPr>
          <w:rFonts w:hint="eastAsia" w:ascii="仿宋" w:hAnsi="仿宋" w:eastAsia="仿宋" w:cs="仿宋"/>
          <w:i w:val="0"/>
          <w:caps w:val="0"/>
          <w:color w:val="000000"/>
          <w:spacing w:val="0"/>
          <w:sz w:val="32"/>
          <w:szCs w:val="32"/>
          <w:shd w:val="clear" w:fill="FFFFFF"/>
        </w:rPr>
        <w:t>208类）2.33万元，占7.45%。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2.农林水支出（213类）27.19万元，占86.95%。</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3.住房保障支出（221类）1.75万元，占5.60%。</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（三）一般公共预算当年拨款具体使用情况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1.</w:t>
      </w:r>
      <w:r>
        <w:rPr>
          <w:rFonts w:hint="eastAsia" w:ascii="仿宋_GB2312" w:hAnsi="仿宋" w:eastAsia="仿宋_GB2312" w:cs="仿宋_GB2312"/>
          <w:i w:val="0"/>
          <w:caps w:val="0"/>
          <w:color w:val="000000"/>
          <w:spacing w:val="0"/>
          <w:sz w:val="32"/>
          <w:szCs w:val="32"/>
          <w:shd w:val="clear" w:fill="FFFFFF"/>
        </w:rPr>
        <w:t>社会保障和就业支出（</w:t>
      </w:r>
      <w:r>
        <w:rPr>
          <w:rFonts w:hint="eastAsia" w:ascii="仿宋" w:hAnsi="仿宋" w:eastAsia="仿宋" w:cs="仿宋"/>
          <w:i w:val="0"/>
          <w:caps w:val="0"/>
          <w:color w:val="000000"/>
          <w:spacing w:val="0"/>
          <w:sz w:val="32"/>
          <w:szCs w:val="32"/>
          <w:shd w:val="clear" w:fill="FFFFFF"/>
        </w:rPr>
        <w:t>208类）行政事业单位养老支出（05款）机关事业单位基本养老保险缴费支出（05项）:2021</w:t>
      </w:r>
      <w:r>
        <w:rPr>
          <w:rFonts w:hint="eastAsia" w:ascii="仿宋_GB2312" w:hAnsi="仿宋" w:eastAsia="仿宋_GB2312" w:cs="仿宋_GB2312"/>
          <w:i w:val="0"/>
          <w:caps w:val="0"/>
          <w:color w:val="000000"/>
          <w:spacing w:val="0"/>
          <w:sz w:val="32"/>
          <w:szCs w:val="32"/>
          <w:shd w:val="clear" w:fill="FFFFFF"/>
        </w:rPr>
        <w:t>年预算数为</w:t>
      </w:r>
      <w:r>
        <w:rPr>
          <w:rFonts w:hint="eastAsia" w:ascii="仿宋" w:hAnsi="仿宋" w:eastAsia="仿宋" w:cs="仿宋"/>
          <w:i w:val="0"/>
          <w:caps w:val="0"/>
          <w:color w:val="000000"/>
          <w:spacing w:val="0"/>
          <w:sz w:val="32"/>
          <w:szCs w:val="32"/>
          <w:shd w:val="clear" w:fill="FFFFFF"/>
        </w:rPr>
        <w:t>2.33</w:t>
      </w:r>
      <w:r>
        <w:rPr>
          <w:rFonts w:hint="eastAsia" w:ascii="仿宋_GB2312" w:hAnsi="仿宋" w:eastAsia="仿宋_GB2312" w:cs="仿宋_GB2312"/>
          <w:i w:val="0"/>
          <w:caps w:val="0"/>
          <w:color w:val="000000"/>
          <w:spacing w:val="0"/>
          <w:sz w:val="32"/>
          <w:szCs w:val="32"/>
          <w:shd w:val="clear" w:fill="FFFFFF"/>
        </w:rPr>
        <w:t>万元，比上年预算减少</w:t>
      </w:r>
      <w:r>
        <w:rPr>
          <w:rFonts w:hint="eastAsia" w:ascii="仿宋" w:hAnsi="仿宋" w:eastAsia="仿宋" w:cs="仿宋"/>
          <w:i w:val="0"/>
          <w:caps w:val="0"/>
          <w:color w:val="000000"/>
          <w:spacing w:val="0"/>
          <w:sz w:val="32"/>
          <w:szCs w:val="32"/>
          <w:shd w:val="clear" w:fill="FFFFFF"/>
        </w:rPr>
        <w:t>2.82万元，下降54.75%，主要原因是：人员减少，人员经费减少；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2.农林水支出（213类）农业</w:t>
      </w:r>
      <w:r>
        <w:rPr>
          <w:rFonts w:hint="eastAsia" w:ascii="仿宋_GB2312" w:hAnsi="仿宋" w:eastAsia="仿宋_GB2312" w:cs="仿宋_GB2312"/>
          <w:i w:val="0"/>
          <w:caps w:val="0"/>
          <w:color w:val="000000"/>
          <w:spacing w:val="0"/>
          <w:sz w:val="32"/>
          <w:szCs w:val="32"/>
          <w:shd w:val="clear" w:fill="FFFFFF"/>
        </w:rPr>
        <w:t>（</w:t>
      </w:r>
      <w:r>
        <w:rPr>
          <w:rFonts w:hint="eastAsia" w:ascii="仿宋" w:hAnsi="仿宋" w:eastAsia="仿宋" w:cs="仿宋"/>
          <w:i w:val="0"/>
          <w:caps w:val="0"/>
          <w:color w:val="000000"/>
          <w:spacing w:val="0"/>
          <w:sz w:val="32"/>
          <w:szCs w:val="32"/>
          <w:shd w:val="clear" w:fill="FFFFFF"/>
        </w:rPr>
        <w:t>02</w:t>
      </w:r>
      <w:r>
        <w:rPr>
          <w:rFonts w:hint="eastAsia" w:ascii="仿宋_GB2312" w:hAnsi="仿宋" w:eastAsia="仿宋_GB2312" w:cs="仿宋_GB2312"/>
          <w:i w:val="0"/>
          <w:caps w:val="0"/>
          <w:color w:val="000000"/>
          <w:spacing w:val="0"/>
          <w:sz w:val="32"/>
          <w:szCs w:val="32"/>
          <w:shd w:val="clear" w:fill="FFFFFF"/>
        </w:rPr>
        <w:t>款）事业运行（</w:t>
      </w:r>
      <w:r>
        <w:rPr>
          <w:rFonts w:hint="eastAsia" w:ascii="仿宋" w:hAnsi="仿宋" w:eastAsia="仿宋" w:cs="仿宋"/>
          <w:i w:val="0"/>
          <w:caps w:val="0"/>
          <w:color w:val="000000"/>
          <w:spacing w:val="0"/>
          <w:sz w:val="32"/>
          <w:szCs w:val="32"/>
          <w:shd w:val="clear" w:fill="FFFFFF"/>
        </w:rPr>
        <w:t>04</w:t>
      </w:r>
      <w:r>
        <w:rPr>
          <w:rFonts w:hint="eastAsia" w:ascii="仿宋_GB2312" w:hAnsi="仿宋" w:eastAsia="仿宋_GB2312" w:cs="仿宋_GB2312"/>
          <w:i w:val="0"/>
          <w:caps w:val="0"/>
          <w:color w:val="000000"/>
          <w:spacing w:val="0"/>
          <w:sz w:val="32"/>
          <w:szCs w:val="32"/>
          <w:shd w:val="clear" w:fill="FFFFFF"/>
        </w:rPr>
        <w:t>项）</w:t>
      </w:r>
      <w:r>
        <w:rPr>
          <w:rFonts w:hint="eastAsia" w:ascii="仿宋" w:hAnsi="仿宋" w:eastAsia="仿宋" w:cs="仿宋"/>
          <w:i w:val="0"/>
          <w:caps w:val="0"/>
          <w:color w:val="000000"/>
          <w:spacing w:val="0"/>
          <w:sz w:val="32"/>
          <w:szCs w:val="32"/>
          <w:shd w:val="clear" w:fill="FFFFFF"/>
        </w:rPr>
        <w:t>:2021</w:t>
      </w:r>
      <w:r>
        <w:rPr>
          <w:rFonts w:hint="eastAsia" w:ascii="仿宋_GB2312" w:hAnsi="仿宋" w:eastAsia="仿宋_GB2312" w:cs="仿宋_GB2312"/>
          <w:i w:val="0"/>
          <w:caps w:val="0"/>
          <w:color w:val="000000"/>
          <w:spacing w:val="0"/>
          <w:sz w:val="32"/>
          <w:szCs w:val="32"/>
          <w:shd w:val="clear" w:fill="FFFFFF"/>
        </w:rPr>
        <w:t>年预算数为</w:t>
      </w:r>
      <w:r>
        <w:rPr>
          <w:rFonts w:hint="eastAsia" w:ascii="仿宋" w:hAnsi="仿宋" w:eastAsia="仿宋" w:cs="仿宋"/>
          <w:i w:val="0"/>
          <w:caps w:val="0"/>
          <w:color w:val="000000"/>
          <w:spacing w:val="0"/>
          <w:sz w:val="32"/>
          <w:szCs w:val="32"/>
          <w:shd w:val="clear" w:fill="FFFFFF"/>
        </w:rPr>
        <w:t>27.19</w:t>
      </w:r>
      <w:r>
        <w:rPr>
          <w:rFonts w:hint="eastAsia" w:ascii="仿宋_GB2312" w:hAnsi="仿宋" w:eastAsia="仿宋_GB2312" w:cs="仿宋_GB2312"/>
          <w:i w:val="0"/>
          <w:caps w:val="0"/>
          <w:color w:val="000000"/>
          <w:spacing w:val="0"/>
          <w:sz w:val="32"/>
          <w:szCs w:val="32"/>
          <w:shd w:val="clear" w:fill="FFFFFF"/>
        </w:rPr>
        <w:t>万元，比上年预算减少</w:t>
      </w:r>
      <w:r>
        <w:rPr>
          <w:rFonts w:hint="eastAsia" w:ascii="仿宋" w:hAnsi="仿宋" w:eastAsia="仿宋" w:cs="仿宋"/>
          <w:i w:val="0"/>
          <w:caps w:val="0"/>
          <w:color w:val="000000"/>
          <w:spacing w:val="0"/>
          <w:sz w:val="32"/>
          <w:szCs w:val="32"/>
          <w:shd w:val="clear" w:fill="FFFFFF"/>
        </w:rPr>
        <w:t>24.85万元，下降47.75%，主要原因是：人员减少，人员经费减少；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3.</w:t>
      </w:r>
      <w:r>
        <w:rPr>
          <w:rFonts w:hint="eastAsia" w:ascii="仿宋_GB2312" w:hAnsi="仿宋" w:eastAsia="仿宋_GB2312" w:cs="仿宋_GB2312"/>
          <w:i w:val="0"/>
          <w:caps w:val="0"/>
          <w:color w:val="000000"/>
          <w:spacing w:val="0"/>
          <w:sz w:val="32"/>
          <w:szCs w:val="32"/>
          <w:shd w:val="clear" w:fill="FFFFFF"/>
        </w:rPr>
        <w:t>住房保障支出（</w:t>
      </w:r>
      <w:r>
        <w:rPr>
          <w:rFonts w:hint="eastAsia" w:ascii="仿宋" w:hAnsi="仿宋" w:eastAsia="仿宋" w:cs="仿宋"/>
          <w:i w:val="0"/>
          <w:caps w:val="0"/>
          <w:color w:val="000000"/>
          <w:spacing w:val="0"/>
          <w:sz w:val="32"/>
          <w:szCs w:val="32"/>
          <w:shd w:val="clear" w:fill="FFFFFF"/>
        </w:rPr>
        <w:t>221类）住房改革支出（02款）住房公积金（01项）支出:2021</w:t>
      </w:r>
      <w:r>
        <w:rPr>
          <w:rFonts w:hint="eastAsia" w:ascii="仿宋_GB2312" w:hAnsi="仿宋" w:eastAsia="仿宋_GB2312" w:cs="仿宋_GB2312"/>
          <w:i w:val="0"/>
          <w:caps w:val="0"/>
          <w:color w:val="000000"/>
          <w:spacing w:val="0"/>
          <w:sz w:val="32"/>
          <w:szCs w:val="32"/>
          <w:shd w:val="clear" w:fill="FFFFFF"/>
        </w:rPr>
        <w:t>年预算数为</w:t>
      </w:r>
      <w:r>
        <w:rPr>
          <w:rFonts w:hint="eastAsia" w:ascii="仿宋" w:hAnsi="仿宋" w:eastAsia="仿宋" w:cs="仿宋"/>
          <w:i w:val="0"/>
          <w:caps w:val="0"/>
          <w:color w:val="000000"/>
          <w:spacing w:val="0"/>
          <w:sz w:val="32"/>
          <w:szCs w:val="32"/>
          <w:shd w:val="clear" w:fill="FFFFFF"/>
        </w:rPr>
        <w:t>1.75万元</w:t>
      </w:r>
      <w:r>
        <w:rPr>
          <w:rFonts w:hint="eastAsia" w:ascii="仿宋_GB2312" w:hAnsi="仿宋" w:eastAsia="仿宋_GB2312" w:cs="仿宋_GB2312"/>
          <w:i w:val="0"/>
          <w:caps w:val="0"/>
          <w:color w:val="000000"/>
          <w:spacing w:val="0"/>
          <w:sz w:val="32"/>
          <w:szCs w:val="32"/>
          <w:shd w:val="clear" w:fill="FFFFFF"/>
        </w:rPr>
        <w:t>，比上年预算减少</w:t>
      </w:r>
      <w:r>
        <w:rPr>
          <w:rFonts w:hint="eastAsia" w:ascii="仿宋" w:hAnsi="仿宋" w:eastAsia="仿宋" w:cs="仿宋"/>
          <w:i w:val="0"/>
          <w:caps w:val="0"/>
          <w:color w:val="000000"/>
          <w:spacing w:val="0"/>
          <w:sz w:val="32"/>
          <w:szCs w:val="32"/>
          <w:shd w:val="clear" w:fill="FFFFFF"/>
        </w:rPr>
        <w:t>2.11万元，下降54.66%，主要原因是：人员减少，人员经费减少。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六、关于哈密市伊州区林业有害生物防治检疫局部门2021年一般公共预算基本支出情况说明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2021年一般公共预算基本支出31.27万元，其中：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人员经费</w:t>
      </w:r>
      <w:r>
        <w:rPr>
          <w:rFonts w:hint="eastAsia" w:ascii="仿宋" w:hAnsi="仿宋" w:eastAsia="仿宋" w:cs="仿宋"/>
          <w:i w:val="0"/>
          <w:caps w:val="0"/>
          <w:color w:val="000000"/>
          <w:spacing w:val="0"/>
          <w:sz w:val="32"/>
          <w:szCs w:val="32"/>
          <w:shd w:val="clear" w:fill="FFFFFF"/>
        </w:rPr>
        <w:t>28.44万元，主要包括：基本工资、津贴补贴、奖金、机关事业单位基本养老保险缴费、职业年金缴费、职工基本医疗保险缴费、其他社会保障缴费、住房公积金、其他工资福利支出、退休费等。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公用经费</w:t>
      </w:r>
      <w:r>
        <w:rPr>
          <w:rFonts w:hint="eastAsia" w:ascii="仿宋" w:hAnsi="仿宋" w:eastAsia="仿宋" w:cs="仿宋"/>
          <w:i w:val="0"/>
          <w:caps w:val="0"/>
          <w:color w:val="000000"/>
          <w:spacing w:val="0"/>
          <w:sz w:val="32"/>
          <w:szCs w:val="32"/>
          <w:shd w:val="clear" w:fill="FFFFFF"/>
        </w:rPr>
        <w:t>2.83万元，主要包括：办公费、工会经费、福利费、公务用车运行维护费等。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七、关于哈密市伊州区林业有害生物防治检疫局部门2021年一般公共预算项目支出情况说明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我单位本年无项目支出预算安排，相关表为空表。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八、关于哈密市伊州区林业有害生物防治检疫局部门2021年一般公共预算“三公”经费预算情况说明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r>
        <w:rPr>
          <w:rFonts w:hint="eastAsia" w:ascii="仿宋" w:hAnsi="仿宋" w:eastAsia="仿宋" w:cs="仿宋"/>
          <w:i w:val="0"/>
          <w:caps w:val="0"/>
          <w:color w:val="000000"/>
          <w:spacing w:val="0"/>
          <w:sz w:val="32"/>
          <w:szCs w:val="32"/>
          <w:shd w:val="clear" w:fill="FFFFFF"/>
        </w:rPr>
        <w:t>2021年一般公共预算“三公”经费数为1.09万元，其中：因公出国（境）费0万元，公务用车购置0万元，公务用车运行费1.09万元，公务接待费0万元。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2021年一般公共预算“三公”经费比上年</w:t>
      </w:r>
      <w:r>
        <w:rPr>
          <w:rFonts w:hint="eastAsia" w:ascii="仿宋" w:hAnsi="仿宋" w:eastAsia="仿宋" w:cs="仿宋"/>
          <w:i w:val="0"/>
          <w:caps w:val="0"/>
          <w:color w:val="000000"/>
          <w:spacing w:val="0"/>
          <w:sz w:val="32"/>
          <w:szCs w:val="32"/>
          <w:shd w:val="clear" w:fill="FFFFFF"/>
          <w:lang w:val="en-US" w:eastAsia="zh-CN"/>
        </w:rPr>
        <w:t>预算</w:t>
      </w:r>
      <w:r>
        <w:rPr>
          <w:rFonts w:hint="eastAsia" w:ascii="仿宋" w:hAnsi="仿宋" w:eastAsia="仿宋" w:cs="仿宋"/>
          <w:i w:val="0"/>
          <w:caps w:val="0"/>
          <w:color w:val="000000"/>
          <w:spacing w:val="0"/>
          <w:sz w:val="32"/>
          <w:szCs w:val="32"/>
          <w:shd w:val="clear" w:fill="FFFFFF"/>
        </w:rPr>
        <w:t>增加0.02万元，其中：因公出国（境）费增加0万元，主要原因是未安排预算；公务用车购置费为0万元，主要原因是未安排预算；公务用车运行费增加0.02万元，主要原因是车辆使用年限增加，费用增加；公务接待费增加0万元，主要原因是无预算安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九、关于哈密市伊州区林业有害生物防治检疫局部门2021年政府性基金预算拨款情况说明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r>
        <w:rPr>
          <w:rFonts w:hint="eastAsia" w:ascii="仿宋" w:hAnsi="仿宋" w:eastAsia="仿宋" w:cs="仿宋"/>
          <w:i w:val="0"/>
          <w:caps w:val="0"/>
          <w:color w:val="000000"/>
          <w:spacing w:val="0"/>
          <w:sz w:val="32"/>
          <w:szCs w:val="32"/>
          <w:shd w:val="clear" w:fill="FFFFFF"/>
        </w:rPr>
        <w:t>2021年没有使用政府性基金预算拨款安排的支出，政府性基金预算支出情况表为空表。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十、其他重要事项的情况说明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（一）机关运行经费情况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2021年，哈密市伊州区林业有害生物防治检疫局部门的机关运行经费财政拨款预算2.83万元，比上年预算减少0.20</w:t>
      </w:r>
      <w:r>
        <w:rPr>
          <w:rFonts w:hint="eastAsia" w:ascii="仿宋_GB2312" w:hAnsi="仿宋" w:eastAsia="仿宋_GB2312" w:cs="仿宋_GB2312"/>
          <w:i w:val="0"/>
          <w:caps w:val="0"/>
          <w:color w:val="000000"/>
          <w:spacing w:val="0"/>
          <w:sz w:val="32"/>
          <w:szCs w:val="32"/>
          <w:shd w:val="clear" w:fill="FFFFFF"/>
        </w:rPr>
        <w:t>万元，下降</w:t>
      </w:r>
      <w:r>
        <w:rPr>
          <w:rFonts w:hint="eastAsia" w:ascii="仿宋" w:hAnsi="仿宋" w:eastAsia="仿宋" w:cs="仿宋"/>
          <w:i w:val="0"/>
          <w:caps w:val="0"/>
          <w:color w:val="000000"/>
          <w:spacing w:val="0"/>
          <w:sz w:val="32"/>
          <w:szCs w:val="32"/>
          <w:shd w:val="clear" w:fill="FFFFFF"/>
        </w:rPr>
        <w:t>6.60%。主要原因是人员减少</w:t>
      </w:r>
      <w:r>
        <w:rPr>
          <w:rFonts w:hint="eastAsia" w:ascii="仿宋" w:hAnsi="仿宋" w:eastAsia="仿宋" w:cs="仿宋"/>
          <w:i w:val="0"/>
          <w:caps w:val="0"/>
          <w:color w:val="000000"/>
          <w:spacing w:val="0"/>
          <w:sz w:val="32"/>
          <w:szCs w:val="32"/>
          <w:shd w:val="clear" w:fill="FFFFFF"/>
          <w:lang w:eastAsia="zh-CN"/>
        </w:rPr>
        <w:t>，</w:t>
      </w:r>
      <w:r>
        <w:rPr>
          <w:rFonts w:hint="eastAsia" w:ascii="仿宋" w:hAnsi="仿宋" w:eastAsia="仿宋" w:cs="仿宋"/>
          <w:i w:val="0"/>
          <w:caps w:val="0"/>
          <w:color w:val="000000"/>
          <w:spacing w:val="0"/>
          <w:sz w:val="32"/>
          <w:szCs w:val="32"/>
          <w:shd w:val="clear" w:fill="FFFFFF"/>
        </w:rPr>
        <w:t>人均办公经费减少。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（二）政府采购情况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2021年，哈密市伊州区林业有害生物防治检疫局部门政府采购预算0万元，其中：政府采购货物预算0万元，政府采购工程预算0万元，政府采购服务预算0万元。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2021年度部门面向中小企业预留政府采购项目预算金额0万元，其中：面向小微企业预留政府采购项目预算金额0万元。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（三）国有资产占用使用情况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eastAsia" w:ascii="Times New Roman" w:hAnsi="Times New Roman" w:eastAsia="仿宋" w:cs="Times New Roman"/>
          <w:sz w:val="21"/>
          <w:szCs w:val="21"/>
          <w:lang w:eastAsia="zh-CN"/>
        </w:rPr>
      </w:pPr>
      <w:r>
        <w:rPr>
          <w:rFonts w:hint="eastAsia" w:ascii="仿宋_GB2312" w:hAnsi="仿宋" w:eastAsia="仿宋_GB2312" w:cs="仿宋_GB2312"/>
          <w:i w:val="0"/>
          <w:caps w:val="0"/>
          <w:color w:val="000000"/>
          <w:spacing w:val="0"/>
          <w:sz w:val="32"/>
          <w:szCs w:val="32"/>
          <w:shd w:val="clear" w:fill="FFFFFF"/>
        </w:rPr>
        <w:t>截至</w:t>
      </w:r>
      <w:r>
        <w:rPr>
          <w:rFonts w:hint="eastAsia" w:ascii="仿宋" w:hAnsi="仿宋" w:eastAsia="仿宋" w:cs="仿宋"/>
          <w:i w:val="0"/>
          <w:caps w:val="0"/>
          <w:color w:val="000000"/>
          <w:spacing w:val="0"/>
          <w:sz w:val="32"/>
          <w:szCs w:val="32"/>
          <w:shd w:val="clear" w:fill="FFFFFF"/>
        </w:rPr>
        <w:t>2020年底，哈密市伊州区林业有害生物防治检疫局部门及下属各预算单位占用使用国有资产总体情况为</w:t>
      </w:r>
      <w:r>
        <w:rPr>
          <w:rFonts w:hint="eastAsia" w:ascii="仿宋" w:hAnsi="仿宋" w:eastAsia="仿宋" w:cs="仿宋"/>
          <w:i w:val="0"/>
          <w:caps w:val="0"/>
          <w:color w:val="000000"/>
          <w:spacing w:val="0"/>
          <w:sz w:val="32"/>
          <w:szCs w:val="32"/>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1.房屋0平方米，价值0万元。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2.车辆31辆，价值200.77万元；其中：一般公务用车4辆，价值38.91万元；执法执勤用车0辆，价值0万元；其他车辆27辆，价值161.86万元。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3.办公家具价值2.96万元。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4.其他资产价值302.08万元。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单位价值</w:t>
      </w:r>
      <w:r>
        <w:rPr>
          <w:rFonts w:hint="eastAsia" w:ascii="仿宋" w:hAnsi="仿宋" w:eastAsia="仿宋" w:cs="仿宋"/>
          <w:i w:val="0"/>
          <w:caps w:val="0"/>
          <w:color w:val="000000"/>
          <w:spacing w:val="0"/>
          <w:sz w:val="32"/>
          <w:szCs w:val="32"/>
          <w:shd w:val="clear" w:fill="FFFFFF"/>
        </w:rPr>
        <w:t>50万元以上大型设备0台（套），单位价值100万元以上大型设备0台（套）。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2021年部门预算未安排购置车辆经费，安排购置50万元以上大型设备0台（套），单位价值100万元以上大型设备0台（套）。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3"/>
        <w:jc w:val="both"/>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（四）预算绩效情况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2021年度，本年度实行绩效管理的一般公共预算项目0个，涉及预算金额0万元。具体情况见下表（按项目分别填报）：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atLeast"/>
        <w:ind w:left="0" w:right="0" w:firstLine="640"/>
        <w:jc w:val="both"/>
        <w:rPr>
          <w:rFonts w:hint="default" w:ascii="Times New Roman" w:hAnsi="Times New Roman" w:cs="Times New Roman"/>
          <w:sz w:val="21"/>
          <w:szCs w:val="21"/>
        </w:rPr>
      </w:pPr>
    </w:p>
    <w:tbl>
      <w:tblPr>
        <w:tblStyle w:val="3"/>
        <w:tblW w:w="945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60"/>
        <w:gridCol w:w="1452"/>
        <w:gridCol w:w="1224"/>
        <w:gridCol w:w="1476"/>
        <w:gridCol w:w="1039"/>
        <w:gridCol w:w="1481"/>
        <w:gridCol w:w="18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bottom"/>
              <w:rPr>
                <w:rFonts w:hint="default" w:ascii="Times New Roman" w:hAnsi="Times New Roman" w:cs="Times New Roman"/>
                <w:sz w:val="21"/>
                <w:szCs w:val="21"/>
              </w:rPr>
            </w:pPr>
            <w:r>
              <w:rPr>
                <w:rFonts w:hint="eastAsia" w:ascii="仿宋" w:hAnsi="仿宋" w:eastAsia="仿宋" w:cs="仿宋"/>
                <w:b/>
                <w:color w:val="000000"/>
                <w:sz w:val="32"/>
                <w:szCs w:val="32"/>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80" w:hRule="atLeast"/>
        </w:trPr>
        <w:tc>
          <w:tcPr>
            <w:tcW w:w="9450" w:type="dxa"/>
            <w:gridSpan w:val="7"/>
            <w:tcBorders>
              <w:top w:val="nil"/>
              <w:left w:val="nil"/>
              <w:bottom w:val="nil"/>
              <w:right w:val="nil"/>
            </w:tcBorders>
            <w:shd w:val="clear" w:color="auto" w:fill="auto"/>
            <w:noWrap/>
            <w:tcMar>
              <w:top w:w="12" w:type="dxa"/>
              <w:left w:w="12" w:type="dxa"/>
              <w:right w:w="12" w:type="dxa"/>
            </w:tcMar>
            <w:vAlign w:val="bottom"/>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bottom"/>
              <w:rPr>
                <w:rFonts w:hint="default" w:ascii="Times New Roman" w:hAnsi="Times New Roman" w:cs="Times New Roman"/>
                <w:sz w:val="21"/>
                <w:szCs w:val="21"/>
              </w:rPr>
            </w:pPr>
            <w:r>
              <w:rPr>
                <w:rFonts w:hint="eastAsia" w:ascii="宋体" w:hAnsi="宋体" w:eastAsia="宋体" w:cs="宋体"/>
                <w:color w:val="000000"/>
                <w:sz w:val="22"/>
                <w:szCs w:val="22"/>
              </w:rPr>
              <w:t>（2021年）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trPr>
        <w:tc>
          <w:tcPr>
            <w:tcW w:w="960"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预算单位</w:t>
            </w:r>
          </w:p>
        </w:tc>
        <w:tc>
          <w:tcPr>
            <w:tcW w:w="4152" w:type="dxa"/>
            <w:gridSpan w:val="3"/>
            <w:tcBorders>
              <w:top w:val="single" w:color="000000" w:sz="8" w:space="0"/>
              <w:left w:val="nil"/>
              <w:bottom w:val="single" w:color="000000" w:sz="8" w:space="0"/>
              <w:right w:val="nil"/>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哈密市伊州区林业有害生物防治检疫局                </w:t>
            </w:r>
          </w:p>
        </w:tc>
        <w:tc>
          <w:tcPr>
            <w:tcW w:w="1039"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项目名称</w:t>
            </w:r>
          </w:p>
        </w:tc>
        <w:tc>
          <w:tcPr>
            <w:tcW w:w="3299" w:type="dxa"/>
            <w:gridSpan w:val="2"/>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项目资金（万元）</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年度资金总额：</w:t>
            </w:r>
          </w:p>
        </w:tc>
        <w:tc>
          <w:tcPr>
            <w:tcW w:w="1224"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both"/>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1476"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其中：财政拨款</w:t>
            </w:r>
          </w:p>
        </w:tc>
        <w:tc>
          <w:tcPr>
            <w:tcW w:w="1039" w:type="dxa"/>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both"/>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1481"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其他资金</w:t>
            </w:r>
          </w:p>
        </w:tc>
        <w:tc>
          <w:tcPr>
            <w:tcW w:w="1818"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both"/>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项目总体目标</w:t>
            </w:r>
          </w:p>
        </w:tc>
        <w:tc>
          <w:tcPr>
            <w:tcW w:w="8490" w:type="dxa"/>
            <w:gridSpan w:val="6"/>
            <w:tcBorders>
              <w:top w:val="nil"/>
              <w:left w:val="nil"/>
              <w:bottom w:val="single" w:color="000000" w:sz="8" w:space="0"/>
              <w:right w:val="single" w:color="000000" w:sz="8" w:space="0"/>
            </w:tcBorders>
            <w:shd w:val="clear" w:color="auto" w:fill="auto"/>
            <w:tcMar>
              <w:top w:w="12" w:type="dxa"/>
              <w:left w:w="12" w:type="dxa"/>
              <w:right w:w="12" w:type="dxa"/>
            </w:tcMar>
            <w:vAlign w:val="top"/>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60" w:type="dxa"/>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一级指标</w:t>
            </w:r>
          </w:p>
        </w:tc>
        <w:tc>
          <w:tcPr>
            <w:tcW w:w="1452" w:type="dxa"/>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二级指标</w:t>
            </w:r>
          </w:p>
        </w:tc>
        <w:tc>
          <w:tcPr>
            <w:tcW w:w="3739" w:type="dxa"/>
            <w:gridSpan w:val="3"/>
            <w:tcBorders>
              <w:top w:val="single" w:color="000000" w:sz="8" w:space="0"/>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三级指标</w:t>
            </w:r>
          </w:p>
        </w:tc>
        <w:tc>
          <w:tcPr>
            <w:tcW w:w="3299" w:type="dxa"/>
            <w:gridSpan w:val="2"/>
            <w:tcBorders>
              <w:top w:val="single" w:color="000000" w:sz="8" w:space="0"/>
              <w:left w:val="nil"/>
              <w:bottom w:val="single" w:color="000000" w:sz="8" w:space="0"/>
              <w:right w:val="single" w:color="000000" w:sz="8" w:space="0"/>
            </w:tcBorders>
            <w:shd w:val="clear" w:color="auto" w:fill="auto"/>
            <w:noWrap/>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b/>
                <w:color w:val="000000"/>
                <w:sz w:val="18"/>
                <w:szCs w:val="18"/>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产出指标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数量指标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质量指标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时效指标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成本指标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效益指标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经济效益指标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社会效益指标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生态效益指标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可持续影响指标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960" w:type="dxa"/>
            <w:vMerge w:val="restart"/>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满意度指标</w:t>
            </w:r>
          </w:p>
        </w:tc>
        <w:tc>
          <w:tcPr>
            <w:tcW w:w="1452" w:type="dxa"/>
            <w:vMerge w:val="restart"/>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textAlignment w:val="center"/>
              <w:rPr>
                <w:rFonts w:hint="default" w:ascii="Times New Roman" w:hAnsi="Times New Roman" w:cs="Times New Roman"/>
                <w:sz w:val="21"/>
                <w:szCs w:val="21"/>
              </w:rPr>
            </w:pPr>
            <w:r>
              <w:rPr>
                <w:rFonts w:hint="eastAsia" w:ascii="宋体" w:hAnsi="宋体" w:eastAsia="宋体" w:cs="宋体"/>
                <w:color w:val="000000"/>
                <w:sz w:val="18"/>
                <w:szCs w:val="18"/>
              </w:rPr>
              <w:t>满意度指标</w:t>
            </w: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0" w:hRule="atLeast"/>
        </w:trPr>
        <w:tc>
          <w:tcPr>
            <w:tcW w:w="960" w:type="dxa"/>
            <w:vMerge w:val="continue"/>
            <w:tcBorders>
              <w:top w:val="nil"/>
              <w:left w:val="single" w:color="000000" w:sz="8" w:space="0"/>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1452" w:type="dxa"/>
            <w:vMerge w:val="continue"/>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rPr>
                <w:rFonts w:hint="default" w:ascii="Calibri" w:hAnsi="Calibri" w:cs="Calibri"/>
                <w:sz w:val="21"/>
                <w:szCs w:val="21"/>
              </w:rPr>
            </w:pPr>
          </w:p>
        </w:tc>
        <w:tc>
          <w:tcPr>
            <w:tcW w:w="3739" w:type="dxa"/>
            <w:gridSpan w:val="3"/>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c>
          <w:tcPr>
            <w:tcW w:w="3299" w:type="dxa"/>
            <w:gridSpan w:val="2"/>
            <w:tcBorders>
              <w:top w:val="nil"/>
              <w:left w:val="nil"/>
              <w:bottom w:val="single" w:color="000000" w:sz="8" w:space="0"/>
              <w:right w:val="single" w:color="000000" w:sz="8" w:space="0"/>
            </w:tcBorders>
            <w:shd w:val="clear" w:color="auto" w:fill="auto"/>
            <w:tcMar>
              <w:top w:w="12" w:type="dxa"/>
              <w:left w:w="12" w:type="dxa"/>
              <w:right w:w="12"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left"/>
              <w:rPr>
                <w:rFonts w:hint="default" w:ascii="Times New Roman" w:hAnsi="Times New Roman" w:cs="Times New Roman"/>
                <w:sz w:val="21"/>
                <w:szCs w:val="21"/>
              </w:rPr>
            </w:pPr>
            <w:r>
              <w:rPr>
                <w:rFonts w:hint="eastAsia" w:ascii="宋体" w:hAnsi="宋体" w:eastAsia="宋体" w:cs="宋体"/>
                <w:color w:val="000000"/>
                <w:sz w:val="18"/>
                <w:szCs w:val="18"/>
              </w:rPr>
              <w:t>            </w:t>
            </w:r>
          </w:p>
        </w:tc>
      </w:tr>
    </w:tbl>
    <w:p>
      <w:pPr>
        <w:keepNext w:val="0"/>
        <w:keepLines w:val="0"/>
        <w:widowControl/>
        <w:suppressLineNumbers w:val="0"/>
        <w:spacing w:before="0" w:beforeAutospacing="0" w:after="0" w:afterAutospacing="0"/>
        <w:ind w:left="0" w:right="0"/>
        <w:jc w:val="left"/>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left"/>
        <w:rPr>
          <w:rFonts w:hint="default" w:ascii="Times New Roman" w:hAnsi="Times New Roman" w:cs="Times New Roman"/>
          <w:sz w:val="21"/>
          <w:szCs w:val="21"/>
        </w:rPr>
      </w:pPr>
      <w:r>
        <w:rPr>
          <w:rFonts w:hint="eastAsia" w:ascii="楷体_GB2312" w:hAnsi="楷体" w:eastAsia="楷体_GB2312" w:cs="楷体_GB2312"/>
          <w:b/>
          <w:i w:val="0"/>
          <w:caps w:val="0"/>
          <w:color w:val="000000"/>
          <w:spacing w:val="0"/>
          <w:sz w:val="32"/>
          <w:szCs w:val="32"/>
          <w:shd w:val="clear" w:fill="FFFFFF"/>
        </w:rPr>
        <w:t>（五）其他需说明的事项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Times New Roman" w:hAnsi="Times New Roman" w:cs="Times New Roman"/>
          <w:sz w:val="21"/>
          <w:szCs w:val="21"/>
        </w:rPr>
      </w:pPr>
      <w:r>
        <w:rPr>
          <w:rFonts w:hint="eastAsia" w:ascii="仿宋_GB2312" w:hAnsi="仿宋" w:eastAsia="仿宋_GB2312" w:cs="仿宋_GB2312"/>
          <w:i w:val="0"/>
          <w:caps w:val="0"/>
          <w:color w:val="000000"/>
          <w:spacing w:val="0"/>
          <w:sz w:val="32"/>
          <w:szCs w:val="32"/>
          <w:shd w:val="clear" w:fill="FFFFFF"/>
        </w:rPr>
        <w:t>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jc w:val="center"/>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第四部分  名词解释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6" w:beforeAutospacing="0" w:after="0" w:afterAutospacing="0" w:line="520" w:lineRule="atLeast"/>
        <w:ind w:left="0" w:right="0"/>
        <w:jc w:val="center"/>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一、财政拨款：</w:t>
      </w:r>
      <w:r>
        <w:rPr>
          <w:rFonts w:hint="eastAsia" w:ascii="仿宋_GB2312" w:hAnsi="仿宋" w:eastAsia="仿宋_GB2312" w:cs="仿宋_GB2312"/>
          <w:i w:val="0"/>
          <w:caps w:val="0"/>
          <w:color w:val="000000"/>
          <w:spacing w:val="0"/>
          <w:sz w:val="32"/>
          <w:szCs w:val="32"/>
          <w:shd w:val="clear" w:fill="FFFFFF"/>
        </w:rPr>
        <w:t>指由一般公共预算、政府性基金预算、国有资本经营预算安排的财政拨款数。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二、一般公共预算：</w:t>
      </w:r>
      <w:r>
        <w:rPr>
          <w:rFonts w:hint="eastAsia" w:ascii="仿宋_GB2312" w:hAnsi="仿宋" w:eastAsia="仿宋_GB2312" w:cs="仿宋_GB2312"/>
          <w:i w:val="0"/>
          <w:caps w:val="0"/>
          <w:color w:val="000000"/>
          <w:spacing w:val="-6"/>
          <w:sz w:val="32"/>
          <w:szCs w:val="32"/>
          <w:shd w:val="clear" w:fill="FFFFFF"/>
        </w:rPr>
        <w:t>包括公共财政拨款（补助）资金、专项收入。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三、基本支出：</w:t>
      </w:r>
      <w:r>
        <w:rPr>
          <w:rFonts w:hint="eastAsia" w:ascii="仿宋_GB2312" w:hAnsi="仿宋" w:eastAsia="仿宋_GB2312" w:cs="仿宋_GB2312"/>
          <w:i w:val="0"/>
          <w:caps w:val="0"/>
          <w:color w:val="000000"/>
          <w:spacing w:val="0"/>
          <w:sz w:val="32"/>
          <w:szCs w:val="32"/>
          <w:shd w:val="clear" w:fill="FFFFFF"/>
        </w:rPr>
        <w:t>包括人员经费、商品和服务支出（定额）。其中，人员经费包括工资福利支出、对个人和家庭的补助。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四、“三公”经费：</w:t>
      </w:r>
      <w:r>
        <w:rPr>
          <w:rFonts w:hint="eastAsia" w:ascii="仿宋_GB2312" w:hAnsi="仿宋" w:eastAsia="仿宋_GB2312" w:cs="仿宋_GB2312"/>
          <w:i w:val="0"/>
          <w:caps w:val="0"/>
          <w:color w:val="000000"/>
          <w:spacing w:val="0"/>
          <w:sz w:val="32"/>
          <w:szCs w:val="32"/>
          <w:shd w:val="clear" w:fill="FFFFFF"/>
        </w:rPr>
        <w:t>指伊州区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2"/>
        <w:jc w:val="both"/>
        <w:rPr>
          <w:rFonts w:hint="default" w:ascii="Times New Roman" w:hAnsi="Times New Roman" w:cs="Times New Roman"/>
          <w:sz w:val="21"/>
          <w:szCs w:val="21"/>
        </w:rPr>
      </w:pPr>
      <w:r>
        <w:rPr>
          <w:rFonts w:hint="eastAsia" w:ascii="黑体" w:hAnsi="宋体" w:eastAsia="黑体" w:cs="黑体"/>
          <w:i w:val="0"/>
          <w:caps w:val="0"/>
          <w:color w:val="000000"/>
          <w:spacing w:val="0"/>
          <w:sz w:val="32"/>
          <w:szCs w:val="32"/>
          <w:shd w:val="clear" w:fill="FFFFFF"/>
        </w:rPr>
        <w:t>五、机关运行经费：</w:t>
      </w:r>
      <w:r>
        <w:rPr>
          <w:rFonts w:hint="eastAsia" w:ascii="仿宋_GB2312" w:hAnsi="仿宋" w:eastAsia="仿宋_GB2312" w:cs="仿宋_GB2312"/>
          <w:i w:val="0"/>
          <w:caps w:val="0"/>
          <w:color w:val="000000"/>
          <w:spacing w:val="0"/>
          <w:sz w:val="32"/>
          <w:szCs w:val="32"/>
          <w:shd w:val="clear" w:fill="FFFFFF"/>
        </w:rPr>
        <w:t>指各部门的公用经费，包括办公及印刷费、邮电费、差旅费、会议费、福利费、日常维修费、专用材料及一般设备购置费、办公用房水电费、办公用房取暖费、办公用房物业管理费、公务用车运行维护费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lef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right"/>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             </w:t>
      </w:r>
      <w:r>
        <w:rPr>
          <w:rFonts w:hint="eastAsia" w:ascii="仿宋_GB2312" w:hAnsi="仿宋" w:eastAsia="仿宋_GB2312" w:cs="仿宋_GB2312"/>
          <w:i w:val="0"/>
          <w:caps w:val="0"/>
          <w:color w:val="000000"/>
          <w:spacing w:val="0"/>
          <w:sz w:val="32"/>
          <w:szCs w:val="32"/>
          <w:shd w:val="clear" w:fill="FFFFFF"/>
        </w:rPr>
        <w:t>哈密市伊州区林业有害生物防治检疫局部门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jc w:val="right"/>
        <w:rPr>
          <w:rFonts w:hint="default" w:ascii="Times New Roman" w:hAnsi="Times New Roman" w:cs="Times New Roman"/>
          <w:sz w:val="21"/>
          <w:szCs w:val="21"/>
        </w:rPr>
      </w:pPr>
      <w:r>
        <w:rPr>
          <w:rFonts w:hint="eastAsia" w:ascii="仿宋" w:hAnsi="仿宋" w:eastAsia="仿宋" w:cs="仿宋"/>
          <w:i w:val="0"/>
          <w:caps w:val="0"/>
          <w:color w:val="000000"/>
          <w:spacing w:val="0"/>
          <w:sz w:val="32"/>
          <w:szCs w:val="32"/>
          <w:shd w:val="clear" w:fill="FFFFFF"/>
        </w:rPr>
        <w:t>                                 2021</w:t>
      </w:r>
      <w:r>
        <w:rPr>
          <w:rFonts w:hint="eastAsia" w:ascii="仿宋_GB2312" w:hAnsi="仿宋" w:eastAsia="仿宋_GB2312" w:cs="仿宋_GB2312"/>
          <w:i w:val="0"/>
          <w:caps w:val="0"/>
          <w:color w:val="000000"/>
          <w:spacing w:val="0"/>
          <w:sz w:val="32"/>
          <w:szCs w:val="32"/>
          <w:shd w:val="clear" w:fill="FFFFFF"/>
        </w:rPr>
        <w:t>年</w:t>
      </w:r>
      <w:r>
        <w:rPr>
          <w:rFonts w:hint="eastAsia" w:ascii="仿宋" w:hAnsi="仿宋" w:eastAsia="仿宋" w:cs="仿宋"/>
          <w:i w:val="0"/>
          <w:caps w:val="0"/>
          <w:color w:val="000000"/>
          <w:spacing w:val="0"/>
          <w:sz w:val="32"/>
          <w:szCs w:val="32"/>
          <w:shd w:val="clear" w:fill="FFFFFF"/>
        </w:rPr>
        <w:t>2</w:t>
      </w:r>
      <w:r>
        <w:rPr>
          <w:rFonts w:hint="eastAsia" w:ascii="仿宋_GB2312" w:hAnsi="仿宋" w:eastAsia="仿宋_GB2312" w:cs="仿宋_GB2312"/>
          <w:i w:val="0"/>
          <w:caps w:val="0"/>
          <w:color w:val="000000"/>
          <w:spacing w:val="0"/>
          <w:sz w:val="32"/>
          <w:szCs w:val="32"/>
          <w:shd w:val="clear" w:fill="FFFFFF"/>
        </w:rPr>
        <w:t>月</w:t>
      </w:r>
      <w:r>
        <w:rPr>
          <w:rFonts w:hint="eastAsia" w:ascii="仿宋" w:hAnsi="仿宋" w:eastAsia="仿宋" w:cs="仿宋"/>
          <w:i w:val="0"/>
          <w:caps w:val="0"/>
          <w:color w:val="000000"/>
          <w:spacing w:val="0"/>
          <w:sz w:val="32"/>
          <w:szCs w:val="32"/>
          <w:shd w:val="clear" w:fill="FFFFFF"/>
        </w:rPr>
        <w:t>8</w:t>
      </w:r>
      <w:r>
        <w:rPr>
          <w:rFonts w:hint="eastAsia" w:ascii="仿宋_GB2312" w:hAnsi="仿宋" w:eastAsia="仿宋_GB2312" w:cs="仿宋_GB2312"/>
          <w:i w:val="0"/>
          <w:caps w:val="0"/>
          <w:color w:val="000000"/>
          <w:spacing w:val="0"/>
          <w:sz w:val="32"/>
          <w:szCs w:val="32"/>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right"/>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default" w:ascii="Times New Roman" w:hAnsi="Times New Roman" w:cs="Times New Roman"/>
          <w:sz w:val="21"/>
          <w:szCs w:val="21"/>
        </w:rPr>
      </w:pPr>
      <w:r>
        <w:rPr>
          <w:rFonts w:hint="default" w:ascii="Times New Roman" w:hAnsi="Times New Roman" w:eastAsia="微软雅黑" w:cs="Times New Roman"/>
          <w:i w:val="0"/>
          <w:caps w:val="0"/>
          <w:color w:val="000000"/>
          <w:spacing w:val="0"/>
          <w:sz w:val="21"/>
          <w:szCs w:val="21"/>
          <w:shd w:val="clear" w:fill="FFFFFF"/>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2154A"/>
    <w:rsid w:val="3C6535E0"/>
    <w:rsid w:val="51B37DCF"/>
    <w:rsid w:val="6F567DC1"/>
    <w:rsid w:val="71AD5CD5"/>
    <w:rsid w:val="752C4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2022-09-07T03:06:00Z</dcterms:created>
  <dc:creator>Administrator</dc:creator>
  <cp:lastModifiedBy>CaiGou</cp:lastModifiedBy>
  <dcterms:modified xsi:type="dcterms:W3CDTF">2024-01-09T07:50:17Z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31039E1094AF4E47ACDF7354E81E20EB_13</vt:lpwstr>
  </property>
</Properties>
</file>