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82B3E">
      <w:pPr>
        <w:pStyle w:val="14"/>
        <w:bidi w:val="0"/>
        <w:rPr>
          <w:rFonts w:hint="eastAsia"/>
          <w:highlight w:val="none"/>
          <w:lang w:val="en-US" w:eastAsia="zh-CN"/>
        </w:rPr>
      </w:pPr>
      <w:r>
        <w:rPr>
          <w:rFonts w:hint="default"/>
          <w:highlight w:val="none"/>
          <w:lang w:val="en-US" w:eastAsia="zh-CN"/>
        </w:rPr>
        <w:t>伊州区城市</w:t>
      </w:r>
      <w:r>
        <w:rPr>
          <w:rFonts w:hint="eastAsia"/>
          <w:highlight w:val="none"/>
          <w:lang w:val="en-US" w:eastAsia="zh-CN"/>
        </w:rPr>
        <w:t>公共交通企业</w:t>
      </w:r>
      <w:r>
        <w:rPr>
          <w:rFonts w:hint="default"/>
          <w:highlight w:val="none"/>
          <w:lang w:val="en-US" w:eastAsia="zh-CN"/>
        </w:rPr>
        <w:t>成本</w:t>
      </w:r>
      <w:r>
        <w:rPr>
          <w:rFonts w:hint="eastAsia"/>
          <w:highlight w:val="none"/>
          <w:lang w:val="en-US" w:eastAsia="zh-CN"/>
        </w:rPr>
        <w:t>规制</w:t>
      </w:r>
    </w:p>
    <w:p w14:paraId="6E547217">
      <w:pPr>
        <w:pStyle w:val="14"/>
        <w:bidi w:val="0"/>
        <w:rPr>
          <w:rFonts w:hint="default"/>
          <w:highlight w:val="none"/>
          <w:lang w:val="en-US" w:eastAsia="zh-CN"/>
        </w:rPr>
      </w:pPr>
      <w:r>
        <w:rPr>
          <w:rFonts w:hint="eastAsia"/>
          <w:highlight w:val="none"/>
          <w:lang w:val="en-US" w:eastAsia="zh-CN"/>
        </w:rPr>
        <w:t>实施办</w:t>
      </w:r>
      <w:r>
        <w:rPr>
          <w:rFonts w:hint="default"/>
          <w:highlight w:val="none"/>
          <w:lang w:val="en-US" w:eastAsia="zh-CN"/>
        </w:rPr>
        <w:t>法</w:t>
      </w:r>
    </w:p>
    <w:p w14:paraId="2B351644">
      <w:pPr>
        <w:bidi w:val="0"/>
        <w:ind w:left="0" w:leftChars="0" w:firstLine="0" w:firstLineChars="0"/>
        <w:jc w:val="center"/>
        <w:rPr>
          <w:rFonts w:hint="eastAsia" w:ascii="楷体" w:hAnsi="楷体" w:eastAsia="楷体" w:cs="楷体"/>
          <w:highlight w:val="none"/>
          <w:lang w:val="en-US" w:eastAsia="zh-CN"/>
        </w:rPr>
      </w:pPr>
      <w:r>
        <w:rPr>
          <w:rFonts w:hint="eastAsia" w:ascii="楷体" w:hAnsi="楷体" w:eastAsia="楷体" w:cs="楷体"/>
          <w:highlight w:val="none"/>
          <w:lang w:val="en-US" w:eastAsia="zh-CN"/>
        </w:rPr>
        <w:t>（征求意见稿）</w:t>
      </w:r>
    </w:p>
    <w:p w14:paraId="46D37E32">
      <w:pPr>
        <w:pStyle w:val="7"/>
        <w:bidi w:val="0"/>
        <w:spacing w:line="240" w:lineRule="auto"/>
        <w:ind w:firstLine="0" w:firstLineChars="0"/>
        <w:rPr>
          <w:rFonts w:hint="eastAsia"/>
          <w:highlight w:val="none"/>
          <w:lang w:val="en-US" w:eastAsia="zh-CN"/>
        </w:rPr>
      </w:pPr>
      <w:r>
        <w:rPr>
          <w:rFonts w:hint="eastAsia"/>
          <w:highlight w:val="none"/>
          <w:lang w:val="en-US" w:eastAsia="zh-CN"/>
        </w:rPr>
        <w:t>第一章 总则</w:t>
      </w:r>
    </w:p>
    <w:p w14:paraId="54D96BB1">
      <w:pPr>
        <w:pStyle w:val="18"/>
        <w:bidi w:val="0"/>
        <w:rPr>
          <w:rFonts w:hint="eastAsia"/>
          <w:highlight w:val="none"/>
          <w:lang w:val="en-US" w:eastAsia="zh-CN"/>
        </w:rPr>
      </w:pPr>
      <w:r>
        <w:rPr>
          <w:rFonts w:hint="eastAsia"/>
          <w:highlight w:val="none"/>
          <w:lang w:val="en-US" w:eastAsia="zh-CN"/>
        </w:rPr>
        <w:t>为深入贯彻落实城市公共交通优先发展战略，促进城市公共交通企业加强经营管理（以下简称“公交企业”），建立科学、规范的成本约束机制，根据《城市公共交通条例》（国务院令第793号）、交通运输部等九部门和单位《关于推进城市公共交通健康可持续发展的若干意见》（交运发</w:t>
      </w:r>
      <w:r>
        <w:rPr>
          <w:rFonts w:hint="eastAsia" w:ascii="仿宋_GB2312" w:hAnsi="仿宋_GB2312" w:eastAsia="仿宋_GB2312" w:cs="仿宋_GB2312"/>
          <w:highlight w:val="none"/>
          <w:lang w:val="en-US" w:eastAsia="zh-CN"/>
        </w:rPr>
        <w:t>〔</w:t>
      </w:r>
      <w:r>
        <w:rPr>
          <w:rFonts w:hint="eastAsia"/>
          <w:highlight w:val="none"/>
          <w:lang w:val="en-US" w:eastAsia="zh-CN"/>
        </w:rPr>
        <w:t>2023</w:t>
      </w:r>
      <w:r>
        <w:rPr>
          <w:rFonts w:hint="eastAsia" w:ascii="仿宋_GB2312" w:hAnsi="仿宋_GB2312" w:eastAsia="仿宋_GB2312" w:cs="仿宋_GB2312"/>
          <w:highlight w:val="none"/>
          <w:lang w:val="en-US" w:eastAsia="zh-CN"/>
        </w:rPr>
        <w:t>〕</w:t>
      </w:r>
      <w:r>
        <w:rPr>
          <w:rFonts w:hint="eastAsia"/>
          <w:highlight w:val="none"/>
          <w:lang w:val="en-US" w:eastAsia="zh-CN"/>
        </w:rPr>
        <w:t>144号）、新疆维吾尔自治区人民政府《关于加快自治区城市公共交通行业发展的指导意见》（新政发〔2013〕46号）、《城市公共汽电车企业运营成本测算规范》（JT/T 1184-2025）等规定，结合伊州区实际，制定本办法。</w:t>
      </w:r>
    </w:p>
    <w:p w14:paraId="74B357A5">
      <w:pPr>
        <w:pStyle w:val="18"/>
        <w:bidi w:val="0"/>
        <w:rPr>
          <w:rFonts w:hint="eastAsia"/>
          <w:highlight w:val="none"/>
          <w:lang w:val="en-US" w:eastAsia="zh-CN"/>
        </w:rPr>
      </w:pPr>
      <w:r>
        <w:rPr>
          <w:rFonts w:hint="eastAsia"/>
          <w:highlight w:val="none"/>
          <w:lang w:val="en-US" w:eastAsia="zh-CN"/>
        </w:rPr>
        <w:t xml:space="preserve"> 本办法所称城市公共交通企业成本规制，是指在合理界定公交企业运营成本范围和建立科学成本核算标准的基础上，客观核定公交企业运营成本，并以此测算财政补贴补偿资金的管理过程。</w:t>
      </w:r>
    </w:p>
    <w:p w14:paraId="2C9E5008">
      <w:pPr>
        <w:pStyle w:val="18"/>
        <w:bidi w:val="0"/>
        <w:rPr>
          <w:rFonts w:hint="eastAsia"/>
          <w:highlight w:val="none"/>
          <w:lang w:val="en-US" w:eastAsia="zh-CN"/>
        </w:rPr>
      </w:pPr>
      <w:r>
        <w:rPr>
          <w:rFonts w:hint="eastAsia"/>
          <w:highlight w:val="none"/>
          <w:lang w:val="en-US" w:eastAsia="zh-CN"/>
        </w:rPr>
        <w:t>本办法适用于在伊州区行政辖区内按照政府有关部门核定的线路、站点、时间、票价为公众提供基本公交出行服务的城市公交企业。规制对象为按规定程序批准运营的城市公交线路，公交企业擅自新辟、延长或变更的公交线路，不作为成本规制对象。</w:t>
      </w:r>
    </w:p>
    <w:p w14:paraId="3050DE6F">
      <w:pPr>
        <w:pStyle w:val="18"/>
        <w:bidi w:val="0"/>
        <w:rPr>
          <w:rFonts w:hint="default"/>
          <w:highlight w:val="none"/>
          <w:lang w:val="en-US" w:eastAsia="zh-CN"/>
        </w:rPr>
      </w:pPr>
      <w:r>
        <w:rPr>
          <w:rFonts w:hint="eastAsia"/>
          <w:highlight w:val="none"/>
          <w:lang w:val="en-US" w:eastAsia="zh-CN"/>
        </w:rPr>
        <w:t>城市公共交通企业成本规制应遵循以下基本原则：</w:t>
      </w:r>
    </w:p>
    <w:p w14:paraId="30A38F99">
      <w:pPr>
        <w:bidi w:val="0"/>
        <w:rPr>
          <w:rFonts w:hint="default"/>
          <w:highlight w:val="none"/>
          <w:lang w:val="en-US" w:eastAsia="zh-CN"/>
        </w:rPr>
      </w:pPr>
      <w:r>
        <w:rPr>
          <w:rFonts w:hint="eastAsia" w:ascii="楷体" w:hAnsi="楷体" w:eastAsia="楷体" w:cs="楷体"/>
          <w:highlight w:val="none"/>
          <w:lang w:val="en-US" w:eastAsia="zh-CN"/>
        </w:rPr>
        <w:t>（一）</w:t>
      </w:r>
      <w:r>
        <w:rPr>
          <w:rFonts w:hint="default" w:ascii="楷体" w:hAnsi="楷体" w:eastAsia="楷体" w:cs="楷体"/>
          <w:highlight w:val="none"/>
          <w:lang w:val="en-US" w:eastAsia="zh-CN"/>
        </w:rPr>
        <w:t>合法性原则。</w:t>
      </w:r>
      <w:r>
        <w:rPr>
          <w:rFonts w:hint="eastAsia"/>
          <w:highlight w:val="none"/>
          <w:lang w:val="en-US" w:eastAsia="zh-CN"/>
        </w:rPr>
        <w:t>纳入规制成本</w:t>
      </w:r>
      <w:r>
        <w:rPr>
          <w:rFonts w:hint="default"/>
          <w:highlight w:val="none"/>
          <w:lang w:val="en-US" w:eastAsia="zh-CN"/>
        </w:rPr>
        <w:t>的各项费用应当符合有关法律法规规定。</w:t>
      </w:r>
    </w:p>
    <w:p w14:paraId="75C8EA16">
      <w:pPr>
        <w:bidi w:val="0"/>
        <w:rPr>
          <w:rFonts w:hint="default"/>
          <w:highlight w:val="none"/>
          <w:lang w:val="en-US" w:eastAsia="zh-CN"/>
        </w:rPr>
      </w:pPr>
      <w:r>
        <w:rPr>
          <w:rFonts w:hint="default" w:ascii="楷体" w:hAnsi="楷体" w:eastAsia="楷体" w:cs="楷体"/>
          <w:highlight w:val="none"/>
          <w:lang w:val="en-US" w:eastAsia="zh-CN"/>
        </w:rPr>
        <w:t>（</w:t>
      </w:r>
      <w:r>
        <w:rPr>
          <w:rFonts w:hint="eastAsia" w:ascii="楷体" w:hAnsi="楷体" w:eastAsia="楷体" w:cs="楷体"/>
          <w:highlight w:val="none"/>
          <w:lang w:val="en-US" w:eastAsia="zh-CN"/>
        </w:rPr>
        <w:t>二</w:t>
      </w:r>
      <w:r>
        <w:rPr>
          <w:rFonts w:hint="default" w:ascii="楷体" w:hAnsi="楷体" w:eastAsia="楷体" w:cs="楷体"/>
          <w:highlight w:val="none"/>
          <w:lang w:val="en-US" w:eastAsia="zh-CN"/>
        </w:rPr>
        <w:t>）相关性原则。</w:t>
      </w:r>
      <w:r>
        <w:rPr>
          <w:rFonts w:hint="default"/>
          <w:highlight w:val="none"/>
          <w:lang w:val="en-US" w:eastAsia="zh-CN"/>
        </w:rPr>
        <w:t>纳入规制成本的各项费用应当与公交企业提供公共</w:t>
      </w:r>
      <w:r>
        <w:rPr>
          <w:rFonts w:hint="eastAsia"/>
          <w:highlight w:val="none"/>
          <w:lang w:val="en-US" w:eastAsia="zh-CN"/>
        </w:rPr>
        <w:t>交通</w:t>
      </w:r>
      <w:r>
        <w:rPr>
          <w:rFonts w:hint="default"/>
          <w:highlight w:val="none"/>
          <w:lang w:val="en-US" w:eastAsia="zh-CN"/>
        </w:rPr>
        <w:t>运营服务直接或间接相关。</w:t>
      </w:r>
    </w:p>
    <w:p w14:paraId="3A962D7A">
      <w:pPr>
        <w:bidi w:val="0"/>
        <w:rPr>
          <w:rFonts w:hint="default"/>
          <w:highlight w:val="none"/>
          <w:lang w:val="en-US" w:eastAsia="zh-CN"/>
        </w:rPr>
      </w:pPr>
      <w:r>
        <w:rPr>
          <w:rFonts w:hint="default" w:ascii="楷体" w:hAnsi="楷体" w:eastAsia="楷体" w:cs="楷体"/>
          <w:highlight w:val="none"/>
          <w:lang w:val="en-US" w:eastAsia="zh-CN"/>
        </w:rPr>
        <w:t>（</w:t>
      </w:r>
      <w:r>
        <w:rPr>
          <w:rFonts w:hint="eastAsia" w:ascii="楷体" w:hAnsi="楷体" w:eastAsia="楷体" w:cs="楷体"/>
          <w:highlight w:val="none"/>
          <w:lang w:val="en-US" w:eastAsia="zh-CN"/>
        </w:rPr>
        <w:t>三</w:t>
      </w:r>
      <w:r>
        <w:rPr>
          <w:rFonts w:hint="default" w:ascii="楷体" w:hAnsi="楷体" w:eastAsia="楷体" w:cs="楷体"/>
          <w:highlight w:val="none"/>
          <w:lang w:val="en-US" w:eastAsia="zh-CN"/>
        </w:rPr>
        <w:t>）合理性原则。</w:t>
      </w:r>
      <w:r>
        <w:rPr>
          <w:rFonts w:hint="default"/>
          <w:highlight w:val="none"/>
          <w:lang w:val="en-US" w:eastAsia="zh-CN"/>
        </w:rPr>
        <w:t>纳入规制成本的各项成本费用应当按照合理方法与标准核定</w:t>
      </w:r>
      <w:r>
        <w:rPr>
          <w:rFonts w:hint="eastAsia"/>
          <w:highlight w:val="none"/>
          <w:lang w:val="en-US" w:eastAsia="zh-CN"/>
        </w:rPr>
        <w:t>，</w:t>
      </w:r>
      <w:r>
        <w:rPr>
          <w:rFonts w:hint="default"/>
          <w:highlight w:val="none"/>
          <w:lang w:val="en-US" w:eastAsia="zh-CN"/>
        </w:rPr>
        <w:t>影响成本费用的主要技术、经济指标应当符合行业标准或社会公允水平。</w:t>
      </w:r>
    </w:p>
    <w:p w14:paraId="627F4239">
      <w:pPr>
        <w:bidi w:val="0"/>
        <w:rPr>
          <w:rFonts w:hint="default"/>
          <w:highlight w:val="none"/>
          <w:lang w:val="en-US" w:eastAsia="zh-CN"/>
        </w:rPr>
      </w:pPr>
      <w:r>
        <w:rPr>
          <w:rFonts w:hint="default" w:ascii="楷体" w:hAnsi="楷体" w:eastAsia="楷体" w:cs="楷体"/>
          <w:highlight w:val="none"/>
          <w:lang w:val="en-US" w:eastAsia="zh-CN"/>
        </w:rPr>
        <w:t>（</w:t>
      </w:r>
      <w:r>
        <w:rPr>
          <w:rFonts w:hint="eastAsia" w:ascii="楷体" w:hAnsi="楷体" w:eastAsia="楷体" w:cs="楷体"/>
          <w:highlight w:val="none"/>
          <w:lang w:val="en-US" w:eastAsia="zh-CN"/>
        </w:rPr>
        <w:t>四</w:t>
      </w:r>
      <w:r>
        <w:rPr>
          <w:rFonts w:hint="default" w:ascii="楷体" w:hAnsi="楷体" w:eastAsia="楷体" w:cs="楷体"/>
          <w:highlight w:val="none"/>
          <w:lang w:val="en-US" w:eastAsia="zh-CN"/>
        </w:rPr>
        <w:t>）精细化原则。</w:t>
      </w:r>
      <w:r>
        <w:rPr>
          <w:rFonts w:hint="default"/>
          <w:highlight w:val="none"/>
          <w:lang w:val="en-US" w:eastAsia="zh-CN"/>
        </w:rPr>
        <w:t>成本规制应随着公交企业经营管理与财务管理规范化程度提升不断完善，在现有条件下加强科学化、精细化核定。</w:t>
      </w:r>
    </w:p>
    <w:p w14:paraId="3531438B">
      <w:pPr>
        <w:pStyle w:val="7"/>
        <w:bidi w:val="0"/>
        <w:rPr>
          <w:rFonts w:hint="eastAsia"/>
          <w:highlight w:val="none"/>
          <w:lang w:val="en-US" w:eastAsia="zh-CN"/>
        </w:rPr>
      </w:pPr>
      <w:r>
        <w:rPr>
          <w:rFonts w:hint="eastAsia"/>
          <w:highlight w:val="none"/>
          <w:lang w:val="en-US" w:eastAsia="zh-CN"/>
        </w:rPr>
        <w:t>第二章 成本构成</w:t>
      </w:r>
    </w:p>
    <w:p w14:paraId="163A4435">
      <w:pPr>
        <w:pStyle w:val="18"/>
        <w:bidi w:val="0"/>
        <w:rPr>
          <w:rFonts w:hint="default"/>
          <w:highlight w:val="none"/>
          <w:lang w:val="en-US" w:eastAsia="zh-CN"/>
        </w:rPr>
      </w:pPr>
      <w:r>
        <w:rPr>
          <w:rFonts w:hint="eastAsia"/>
          <w:highlight w:val="none"/>
          <w:lang w:val="en-US" w:eastAsia="zh-CN"/>
        </w:rPr>
        <w:t>公交企业运营成本包括直接运营成本、期间费用、税金及附加三部分。</w:t>
      </w:r>
    </w:p>
    <w:p w14:paraId="0DB51A2E">
      <w:pPr>
        <w:bidi w:val="0"/>
        <w:rPr>
          <w:rFonts w:hint="default"/>
          <w:highlight w:val="none"/>
          <w:lang w:val="en-US" w:eastAsia="zh-CN"/>
        </w:rPr>
      </w:pPr>
      <w:r>
        <w:rPr>
          <w:rFonts w:hint="eastAsia"/>
          <w:highlight w:val="none"/>
          <w:lang w:val="en-US" w:eastAsia="zh-CN"/>
        </w:rPr>
        <w:t>直接运营成本</w:t>
      </w:r>
      <w:r>
        <w:rPr>
          <w:rFonts w:hint="default"/>
          <w:highlight w:val="none"/>
          <w:lang w:val="en-US" w:eastAsia="zh-CN"/>
        </w:rPr>
        <w:t>是指公交企业在实际运营过程中发生的与运营生产直接相关的成本费用，包括人员工资及工资性支出、</w:t>
      </w:r>
      <w:r>
        <w:rPr>
          <w:rFonts w:hint="eastAsia"/>
          <w:highlight w:val="none"/>
          <w:lang w:val="en-US" w:eastAsia="zh-CN"/>
        </w:rPr>
        <w:t>能源</w:t>
      </w:r>
      <w:r>
        <w:rPr>
          <w:rFonts w:hint="default"/>
          <w:highlight w:val="none"/>
          <w:lang w:val="en-US" w:eastAsia="zh-CN"/>
        </w:rPr>
        <w:t>消耗费、固定资产折旧、</w:t>
      </w:r>
      <w:r>
        <w:rPr>
          <w:rFonts w:hint="eastAsia"/>
          <w:highlight w:val="none"/>
          <w:lang w:val="en-US" w:eastAsia="zh-CN"/>
        </w:rPr>
        <w:t>维</w:t>
      </w:r>
      <w:r>
        <w:rPr>
          <w:rFonts w:hint="default"/>
          <w:highlight w:val="none"/>
          <w:lang w:val="en-US" w:eastAsia="zh-CN"/>
        </w:rPr>
        <w:t>修费、轮胎消耗费、保险</w:t>
      </w:r>
      <w:r>
        <w:rPr>
          <w:rFonts w:hint="eastAsia"/>
          <w:highlight w:val="none"/>
          <w:lang w:val="en-US" w:eastAsia="zh-CN"/>
        </w:rPr>
        <w:t>与</w:t>
      </w:r>
      <w:r>
        <w:rPr>
          <w:rFonts w:hint="default"/>
          <w:highlight w:val="none"/>
          <w:lang w:val="en-US" w:eastAsia="zh-CN"/>
        </w:rPr>
        <w:t>事故损失费、安全</w:t>
      </w:r>
      <w:r>
        <w:rPr>
          <w:rFonts w:hint="eastAsia"/>
          <w:highlight w:val="none"/>
          <w:lang w:val="en-US" w:eastAsia="zh-CN"/>
        </w:rPr>
        <w:t>生产</w:t>
      </w:r>
      <w:r>
        <w:rPr>
          <w:rFonts w:hint="default"/>
          <w:highlight w:val="none"/>
          <w:lang w:val="en-US" w:eastAsia="zh-CN"/>
        </w:rPr>
        <w:t>费及</w:t>
      </w:r>
      <w:r>
        <w:rPr>
          <w:rFonts w:hint="eastAsia"/>
          <w:highlight w:val="none"/>
          <w:lang w:val="en-US" w:eastAsia="zh-CN"/>
        </w:rPr>
        <w:t>其他</w:t>
      </w:r>
      <w:r>
        <w:rPr>
          <w:rFonts w:hint="default"/>
          <w:highlight w:val="none"/>
          <w:lang w:val="en-US" w:eastAsia="zh-CN"/>
        </w:rPr>
        <w:t>直接运营费。</w:t>
      </w:r>
    </w:p>
    <w:p w14:paraId="0051F098">
      <w:pPr>
        <w:rPr>
          <w:rFonts w:hint="eastAsia"/>
          <w:highlight w:val="none"/>
          <w:lang w:val="en-US" w:eastAsia="zh-CN"/>
        </w:rPr>
      </w:pPr>
      <w:r>
        <w:rPr>
          <w:rFonts w:hint="eastAsia"/>
          <w:highlight w:val="none"/>
          <w:lang w:val="en-US" w:eastAsia="zh-CN"/>
        </w:rPr>
        <w:t>期间费用是指公交企业为组织和管理运营生产活动而发生的费用，包括管理费用（不含管理人员工资及工资性支出）和财务费用。</w:t>
      </w:r>
    </w:p>
    <w:p w14:paraId="3111A599">
      <w:pPr>
        <w:bidi w:val="0"/>
        <w:rPr>
          <w:rFonts w:hint="eastAsia"/>
          <w:highlight w:val="none"/>
          <w:lang w:val="en-US" w:eastAsia="zh-CN"/>
        </w:rPr>
      </w:pPr>
      <w:r>
        <w:rPr>
          <w:rFonts w:hint="default"/>
          <w:highlight w:val="none"/>
          <w:lang w:val="en-US" w:eastAsia="zh-CN"/>
        </w:rPr>
        <w:t>税金及附加是指公交企业为</w:t>
      </w:r>
      <w:r>
        <w:rPr>
          <w:rFonts w:hint="eastAsia"/>
          <w:highlight w:val="none"/>
          <w:lang w:val="en-US" w:eastAsia="zh-CN"/>
        </w:rPr>
        <w:t>提供</w:t>
      </w:r>
      <w:r>
        <w:rPr>
          <w:rFonts w:hint="default"/>
          <w:highlight w:val="none"/>
          <w:lang w:val="en-US" w:eastAsia="zh-CN"/>
        </w:rPr>
        <w:t>公交运营</w:t>
      </w:r>
      <w:r>
        <w:rPr>
          <w:rFonts w:hint="eastAsia"/>
          <w:highlight w:val="none"/>
          <w:lang w:val="en-US" w:eastAsia="zh-CN"/>
        </w:rPr>
        <w:t>服务依法</w:t>
      </w:r>
      <w:r>
        <w:rPr>
          <w:rFonts w:hint="default"/>
          <w:highlight w:val="none"/>
          <w:lang w:val="en-US" w:eastAsia="zh-CN"/>
        </w:rPr>
        <w:t>缴纳的城市维护建设税、教育费附加</w:t>
      </w:r>
      <w:r>
        <w:rPr>
          <w:rFonts w:hint="eastAsia"/>
          <w:highlight w:val="none"/>
          <w:lang w:val="en-US" w:eastAsia="zh-CN"/>
        </w:rPr>
        <w:t>、</w:t>
      </w:r>
      <w:r>
        <w:rPr>
          <w:rFonts w:hint="default"/>
          <w:highlight w:val="none"/>
          <w:lang w:val="en-US" w:eastAsia="zh-CN"/>
        </w:rPr>
        <w:t>地方教育费附加、印花税、房产税和土地使用税等</w:t>
      </w:r>
      <w:r>
        <w:rPr>
          <w:rFonts w:hint="eastAsia"/>
          <w:highlight w:val="none"/>
          <w:lang w:val="en-US" w:eastAsia="zh-CN"/>
        </w:rPr>
        <w:t>。</w:t>
      </w:r>
    </w:p>
    <w:p w14:paraId="251CD4E1">
      <w:pPr>
        <w:pStyle w:val="8"/>
        <w:bidi w:val="0"/>
        <w:rPr>
          <w:rFonts w:hint="default"/>
          <w:highlight w:val="none"/>
          <w:lang w:val="en-US" w:eastAsia="zh-CN"/>
        </w:rPr>
      </w:pPr>
      <w:r>
        <w:rPr>
          <w:rFonts w:hint="eastAsia"/>
          <w:highlight w:val="none"/>
          <w:lang w:val="en-US" w:eastAsia="zh-CN"/>
        </w:rPr>
        <w:t>人员工资及工资性支出</w:t>
      </w:r>
    </w:p>
    <w:p w14:paraId="3AC3B2C7">
      <w:pPr>
        <w:bidi w:val="0"/>
        <w:rPr>
          <w:rFonts w:hint="default"/>
          <w:highlight w:val="none"/>
          <w:lang w:val="en-US" w:eastAsia="zh-CN"/>
        </w:rPr>
      </w:pPr>
      <w:r>
        <w:rPr>
          <w:rFonts w:hint="eastAsia"/>
          <w:highlight w:val="none"/>
          <w:lang w:val="en-US" w:eastAsia="zh-CN"/>
        </w:rPr>
        <w:t>是指公交</w:t>
      </w:r>
      <w:r>
        <w:rPr>
          <w:rFonts w:hint="default"/>
          <w:highlight w:val="none"/>
          <w:lang w:val="en-US" w:eastAsia="zh-CN"/>
        </w:rPr>
        <w:t>企业</w:t>
      </w:r>
      <w:r>
        <w:rPr>
          <w:rFonts w:hint="eastAsia"/>
          <w:highlight w:val="none"/>
          <w:lang w:val="en-US" w:eastAsia="zh-CN"/>
        </w:rPr>
        <w:t>为</w:t>
      </w:r>
      <w:r>
        <w:rPr>
          <w:rFonts w:hint="default"/>
          <w:highlight w:val="none"/>
          <w:lang w:val="en-US" w:eastAsia="zh-CN"/>
        </w:rPr>
        <w:t>提供公共</w:t>
      </w:r>
      <w:r>
        <w:rPr>
          <w:rFonts w:hint="eastAsia"/>
          <w:highlight w:val="none"/>
          <w:lang w:val="en-US" w:eastAsia="zh-CN"/>
        </w:rPr>
        <w:t>交通</w:t>
      </w:r>
      <w:r>
        <w:rPr>
          <w:rFonts w:hint="default"/>
          <w:highlight w:val="none"/>
          <w:lang w:val="en-US" w:eastAsia="zh-CN"/>
        </w:rPr>
        <w:t>运营服务人员支出的各项费用，应包括工资、职工福利费、工会经费、职工教育经费、住房公积金以及医疗保险费、养老保险费、失业保险费、工伤保险费、生育保险费、补充养老保险、企业年金和补充医疗保险等，以及为提供公共</w:t>
      </w:r>
      <w:r>
        <w:rPr>
          <w:rFonts w:hint="eastAsia"/>
          <w:highlight w:val="none"/>
          <w:lang w:val="en-US" w:eastAsia="zh-CN"/>
        </w:rPr>
        <w:t>交通</w:t>
      </w:r>
      <w:r>
        <w:rPr>
          <w:rFonts w:hint="default"/>
          <w:highlight w:val="none"/>
          <w:lang w:val="en-US" w:eastAsia="zh-CN"/>
        </w:rPr>
        <w:t>运营服务产生的劳务派遣费用。其中工资一项应包含所有职工及管理人员的工资、奖金、津贴、补贴等全部工资性</w:t>
      </w:r>
      <w:r>
        <w:rPr>
          <w:rFonts w:hint="eastAsia"/>
          <w:highlight w:val="none"/>
          <w:lang w:val="en-US" w:eastAsia="zh-CN"/>
        </w:rPr>
        <w:t>收入</w:t>
      </w:r>
      <w:r>
        <w:rPr>
          <w:rFonts w:hint="default"/>
          <w:highlight w:val="none"/>
          <w:lang w:val="en-US" w:eastAsia="zh-CN"/>
        </w:rPr>
        <w:t>。</w:t>
      </w:r>
    </w:p>
    <w:p w14:paraId="2AB45E65">
      <w:pPr>
        <w:pStyle w:val="8"/>
        <w:bidi w:val="0"/>
        <w:rPr>
          <w:rFonts w:hint="eastAsia"/>
          <w:highlight w:val="none"/>
          <w:lang w:val="en-US" w:eastAsia="zh-CN"/>
        </w:rPr>
      </w:pPr>
      <w:r>
        <w:rPr>
          <w:rFonts w:hint="eastAsia"/>
          <w:highlight w:val="none"/>
          <w:lang w:val="en-US" w:eastAsia="zh-CN"/>
        </w:rPr>
        <w:t>能源消耗费</w:t>
      </w:r>
    </w:p>
    <w:p w14:paraId="12156D58">
      <w:pPr>
        <w:bidi w:val="0"/>
        <w:rPr>
          <w:rFonts w:hint="eastAsia"/>
          <w:highlight w:val="none"/>
          <w:lang w:val="en-US" w:eastAsia="zh-CN"/>
        </w:rPr>
      </w:pPr>
      <w:r>
        <w:rPr>
          <w:rFonts w:hint="eastAsia"/>
          <w:highlight w:val="none"/>
          <w:lang w:val="en-US" w:eastAsia="zh-CN"/>
        </w:rPr>
        <w:t>是指公交企业为提供公共交通运营服务所支出的能源消耗费。</w:t>
      </w:r>
    </w:p>
    <w:p w14:paraId="56D90CC0">
      <w:pPr>
        <w:bidi w:val="0"/>
        <w:ind w:left="0" w:leftChars="0" w:firstLine="0" w:firstLineChars="0"/>
        <w:rPr>
          <w:rFonts w:hint="eastAsia"/>
          <w:highlight w:val="none"/>
          <w:lang w:val="en-US" w:eastAsia="zh-CN"/>
        </w:rPr>
      </w:pPr>
      <w:r>
        <w:rPr>
          <w:rFonts w:hint="eastAsia"/>
          <w:highlight w:val="none"/>
          <w:lang w:val="en-US" w:eastAsia="zh-CN"/>
        </w:rPr>
        <w:t>不包括与公交运营无关的货运、非运营车辆的能耗费用。公交企业应按照车辆类型、车辆长度分别统计燃料（电力）消耗量。</w:t>
      </w:r>
    </w:p>
    <w:p w14:paraId="12F727CA">
      <w:pPr>
        <w:pStyle w:val="8"/>
        <w:bidi w:val="0"/>
        <w:rPr>
          <w:rFonts w:hint="eastAsia"/>
          <w:highlight w:val="none"/>
          <w:lang w:val="en-US" w:eastAsia="zh-CN"/>
        </w:rPr>
      </w:pPr>
      <w:r>
        <w:rPr>
          <w:rFonts w:hint="eastAsia"/>
          <w:highlight w:val="none"/>
          <w:lang w:val="en-US" w:eastAsia="zh-CN"/>
        </w:rPr>
        <w:t>固定资产折旧</w:t>
      </w:r>
    </w:p>
    <w:p w14:paraId="448C9FC1">
      <w:pPr>
        <w:bidi w:val="0"/>
        <w:rPr>
          <w:rFonts w:hint="eastAsia"/>
          <w:highlight w:val="none"/>
          <w:lang w:val="en-US" w:eastAsia="zh-CN"/>
        </w:rPr>
      </w:pPr>
      <w:r>
        <w:rPr>
          <w:rFonts w:hint="eastAsia"/>
          <w:highlight w:val="none"/>
          <w:lang w:val="en-US" w:eastAsia="zh-CN"/>
        </w:rPr>
        <w:t>是指公交企业提供公共交通运营服务直接或间接相关的固定资产的折旧额，应包括运营车辆、企业自有场站、办公用房、机器设备等，不应包括由政府或社会无偿投入形成的固定资产和评估增值固定资产计提的折旧额，固定资产盘亏、毁损、闲置、自主提前报废和处置净损失不计入固定资产折旧。</w:t>
      </w:r>
    </w:p>
    <w:p w14:paraId="4145B876">
      <w:pPr>
        <w:pStyle w:val="8"/>
        <w:bidi w:val="0"/>
        <w:rPr>
          <w:rFonts w:hint="eastAsia"/>
          <w:highlight w:val="none"/>
          <w:lang w:val="en-US" w:eastAsia="zh-CN"/>
        </w:rPr>
      </w:pPr>
      <w:r>
        <w:rPr>
          <w:rFonts w:hint="eastAsia"/>
          <w:highlight w:val="none"/>
          <w:lang w:val="en-US" w:eastAsia="zh-CN"/>
        </w:rPr>
        <w:t>维修费</w:t>
      </w:r>
    </w:p>
    <w:p w14:paraId="265286E4">
      <w:pPr>
        <w:bidi w:val="0"/>
        <w:rPr>
          <w:rFonts w:hint="eastAsia"/>
          <w:highlight w:val="none"/>
          <w:lang w:val="en-US" w:eastAsia="zh-CN"/>
        </w:rPr>
      </w:pPr>
      <w:r>
        <w:rPr>
          <w:rFonts w:hint="eastAsia"/>
          <w:highlight w:val="none"/>
          <w:lang w:val="en-US" w:eastAsia="zh-CN"/>
        </w:rPr>
        <w:t>是指公交企业提供公共交通运营服务所支出的运营车辆维修及保养费用，应包括零配件材料费、润料费、维修辅助材料费、检测费、外包维修工时费等。公交企业应按照车辆类型分别统计维修费。</w:t>
      </w:r>
    </w:p>
    <w:p w14:paraId="3D84E106">
      <w:pPr>
        <w:pStyle w:val="8"/>
        <w:bidi w:val="0"/>
        <w:rPr>
          <w:rFonts w:hint="eastAsia"/>
          <w:highlight w:val="none"/>
          <w:lang w:val="en-US" w:eastAsia="zh-CN"/>
        </w:rPr>
      </w:pPr>
      <w:r>
        <w:rPr>
          <w:rFonts w:hint="eastAsia"/>
          <w:highlight w:val="none"/>
          <w:lang w:val="en-US" w:eastAsia="zh-CN"/>
        </w:rPr>
        <w:t>轮胎消耗费</w:t>
      </w:r>
    </w:p>
    <w:p w14:paraId="4A4F414E">
      <w:pPr>
        <w:bidi w:val="0"/>
        <w:rPr>
          <w:rFonts w:hint="eastAsia"/>
          <w:highlight w:val="none"/>
          <w:lang w:val="en-US" w:eastAsia="zh-CN"/>
        </w:rPr>
      </w:pPr>
      <w:r>
        <w:rPr>
          <w:rFonts w:hint="eastAsia"/>
          <w:highlight w:val="none"/>
          <w:lang w:val="en-US" w:eastAsia="zh-CN"/>
        </w:rPr>
        <w:t>是指公交企业提供公共交通运营服务所支出的轮胎更新、修补等费用。公交企业应按照车型分别统计轮胎消耗费。</w:t>
      </w:r>
    </w:p>
    <w:p w14:paraId="18AEA6BA">
      <w:pPr>
        <w:pStyle w:val="8"/>
        <w:bidi w:val="0"/>
        <w:rPr>
          <w:rFonts w:hint="eastAsia"/>
          <w:highlight w:val="none"/>
          <w:lang w:val="en-US" w:eastAsia="zh-CN"/>
        </w:rPr>
      </w:pPr>
      <w:r>
        <w:rPr>
          <w:rFonts w:hint="eastAsia"/>
          <w:highlight w:val="none"/>
          <w:lang w:val="en-US" w:eastAsia="zh-CN"/>
        </w:rPr>
        <w:t>保险与事故损失费</w:t>
      </w:r>
    </w:p>
    <w:p w14:paraId="00F498DF">
      <w:pPr>
        <w:bidi w:val="0"/>
        <w:rPr>
          <w:rFonts w:hint="eastAsia"/>
          <w:highlight w:val="none"/>
          <w:lang w:val="en-US" w:eastAsia="zh-CN"/>
        </w:rPr>
      </w:pPr>
      <w:r>
        <w:rPr>
          <w:rFonts w:hint="eastAsia"/>
          <w:highlight w:val="none"/>
          <w:lang w:val="en-US" w:eastAsia="zh-CN"/>
        </w:rPr>
        <w:t>是指公交企业提供公共交通运营服务购买机动车交通事故责任强制保险和其他商业保险的费用，以及提供公共交通服务过程中发生交通事故而产生的赔偿费净支出（扣除保险公司赔付以及责任人承担赔偿责任后的净支出），不包括自身车辆损坏的维修支出。</w:t>
      </w:r>
    </w:p>
    <w:p w14:paraId="5B25B08B">
      <w:pPr>
        <w:pStyle w:val="8"/>
        <w:bidi w:val="0"/>
        <w:rPr>
          <w:rFonts w:hint="eastAsia"/>
          <w:highlight w:val="none"/>
          <w:lang w:val="en-US" w:eastAsia="zh-CN"/>
        </w:rPr>
      </w:pPr>
      <w:r>
        <w:rPr>
          <w:rFonts w:hint="eastAsia"/>
          <w:highlight w:val="none"/>
          <w:lang w:val="en-US" w:eastAsia="zh-CN"/>
        </w:rPr>
        <w:t>安全生产费</w:t>
      </w:r>
    </w:p>
    <w:p w14:paraId="550E90BC">
      <w:pPr>
        <w:bidi w:val="0"/>
        <w:rPr>
          <w:rFonts w:hint="default"/>
          <w:highlight w:val="none"/>
          <w:lang w:val="en-US" w:eastAsia="zh-CN"/>
        </w:rPr>
      </w:pPr>
      <w:r>
        <w:rPr>
          <w:rFonts w:hint="eastAsia"/>
          <w:highlight w:val="none"/>
          <w:lang w:val="en-US" w:eastAsia="zh-CN"/>
        </w:rPr>
        <w:t>是指公交企业提供公共交通运营服务所支出的安全生产费用。应包括：购置、安装和使用具有行驶记录功能的车辆卫星定位装置支出；配备、维护、保养应急救援器材及设备支出；应急演练支出；安全生产检查、评价（不包括新建、改建、扩建项目安全评价）咨询及标准化建设支出；配备和更新现场作业人员安全防护用品支出；开展重大危险源和事故隐患评估、监控和整改支出；安全生产适用的新技术、新标准、新工艺、新装备的推广应用支出；安全设施及特种设备检测检验支出；安全生产宣传、教育、培训支出等用于完善和改进企业运营安全的相关支出。</w:t>
      </w:r>
    </w:p>
    <w:p w14:paraId="483551C9">
      <w:pPr>
        <w:pStyle w:val="8"/>
        <w:bidi w:val="0"/>
        <w:rPr>
          <w:rFonts w:hint="eastAsia"/>
          <w:highlight w:val="none"/>
          <w:lang w:val="en-US" w:eastAsia="zh-CN"/>
        </w:rPr>
      </w:pPr>
      <w:r>
        <w:rPr>
          <w:rFonts w:hint="eastAsia"/>
          <w:highlight w:val="none"/>
          <w:lang w:val="en-US" w:eastAsia="zh-CN"/>
        </w:rPr>
        <w:t>其他直接运营费</w:t>
      </w:r>
    </w:p>
    <w:p w14:paraId="48951D4E">
      <w:pPr>
        <w:bidi w:val="0"/>
        <w:rPr>
          <w:rFonts w:hint="eastAsia"/>
          <w:highlight w:val="none"/>
          <w:lang w:val="en-US" w:eastAsia="zh-CN"/>
        </w:rPr>
      </w:pPr>
      <w:r>
        <w:rPr>
          <w:rFonts w:hint="eastAsia"/>
          <w:highlight w:val="none"/>
          <w:lang w:val="en-US" w:eastAsia="zh-CN"/>
        </w:rPr>
        <w:t>是指公交企业提供公共交通运营服务支出的除上述费用之外的其他必要费用。包括运营车辆租赁费、场站租赁费、自有场站维护维修费、洗车费、票务费、刷卡（扫码）支付手续费、劳动保护费、信息化系统运维费、站牌更换和维护费用等。</w:t>
      </w:r>
    </w:p>
    <w:p w14:paraId="23F336FA">
      <w:pPr>
        <w:pStyle w:val="8"/>
        <w:bidi w:val="0"/>
        <w:rPr>
          <w:rFonts w:hint="eastAsia"/>
          <w:highlight w:val="none"/>
          <w:lang w:val="en-US" w:eastAsia="zh-CN"/>
        </w:rPr>
      </w:pPr>
      <w:r>
        <w:rPr>
          <w:rFonts w:hint="eastAsia"/>
          <w:highlight w:val="none"/>
          <w:lang w:val="en-US" w:eastAsia="zh-CN"/>
        </w:rPr>
        <w:t>管理费用</w:t>
      </w:r>
    </w:p>
    <w:p w14:paraId="466921BF">
      <w:pPr>
        <w:bidi w:val="0"/>
        <w:rPr>
          <w:rFonts w:hint="eastAsia"/>
          <w:highlight w:val="none"/>
          <w:lang w:val="en-US" w:eastAsia="zh-CN"/>
        </w:rPr>
      </w:pPr>
      <w:r>
        <w:rPr>
          <w:rFonts w:hint="eastAsia"/>
          <w:highlight w:val="none"/>
          <w:lang w:val="en-US" w:eastAsia="zh-CN"/>
        </w:rPr>
        <w:t>是指公交企业提供公共交通运营服务所支出的管理费用，包括办公用房租金、差旅费、办公费、水电费、取暖费、通讯费、印刷费、会议费、培训费、交通费、招待费等，不包括管理人员的工资及工资性支出。</w:t>
      </w:r>
    </w:p>
    <w:p w14:paraId="6945B93A">
      <w:pPr>
        <w:pStyle w:val="8"/>
        <w:bidi w:val="0"/>
        <w:rPr>
          <w:rFonts w:hint="eastAsia"/>
          <w:highlight w:val="none"/>
          <w:lang w:val="en-US" w:eastAsia="zh-CN"/>
        </w:rPr>
      </w:pPr>
      <w:r>
        <w:rPr>
          <w:rFonts w:hint="eastAsia"/>
          <w:highlight w:val="none"/>
          <w:lang w:val="en-US" w:eastAsia="zh-CN"/>
        </w:rPr>
        <w:t>财务费用</w:t>
      </w:r>
    </w:p>
    <w:p w14:paraId="6B334330">
      <w:pPr>
        <w:bidi w:val="0"/>
        <w:rPr>
          <w:rFonts w:hint="eastAsia"/>
          <w:highlight w:val="none"/>
          <w:lang w:val="en-US" w:eastAsia="zh-CN"/>
        </w:rPr>
      </w:pPr>
      <w:r>
        <w:rPr>
          <w:rFonts w:hint="eastAsia"/>
          <w:highlight w:val="none"/>
          <w:lang w:val="en-US" w:eastAsia="zh-CN"/>
        </w:rPr>
        <w:t>是指公交企业提供公共交通运营服务所支出的财务费用，包括为维持资金周转需要、筹集运营车辆更新和购置场站所需资金而产生的利息支出（减利息收入）、金融机构手续费、汇兑净损失等。</w:t>
      </w:r>
    </w:p>
    <w:p w14:paraId="53FE1CA3">
      <w:pPr>
        <w:pStyle w:val="8"/>
        <w:bidi w:val="0"/>
        <w:rPr>
          <w:rFonts w:hint="eastAsia"/>
          <w:highlight w:val="none"/>
          <w:lang w:val="en-US" w:eastAsia="zh-CN"/>
        </w:rPr>
      </w:pPr>
      <w:r>
        <w:rPr>
          <w:rFonts w:hint="eastAsia"/>
          <w:highlight w:val="none"/>
          <w:lang w:val="en-US" w:eastAsia="zh-CN"/>
        </w:rPr>
        <w:t>税金及附加</w:t>
      </w:r>
    </w:p>
    <w:p w14:paraId="382B33C8">
      <w:pPr>
        <w:bidi w:val="0"/>
        <w:rPr>
          <w:rFonts w:hint="eastAsia"/>
          <w:highlight w:val="none"/>
          <w:lang w:val="en-US" w:eastAsia="zh-CN"/>
        </w:rPr>
      </w:pPr>
      <w:r>
        <w:rPr>
          <w:rFonts w:hint="eastAsia"/>
          <w:highlight w:val="none"/>
          <w:lang w:val="en-US" w:eastAsia="zh-CN"/>
        </w:rPr>
        <w:t>是指公交企业提供公共交通运营服务依法缴纳的税金及附加，包括城市维护建设税、教育费附加、地方教育费附加、印花税、房产税和土地使用税等。</w:t>
      </w:r>
    </w:p>
    <w:p w14:paraId="3A419B39">
      <w:pPr>
        <w:pStyle w:val="18"/>
        <w:bidi w:val="0"/>
        <w:rPr>
          <w:rFonts w:hint="eastAsia"/>
          <w:highlight w:val="none"/>
          <w:lang w:val="en-US" w:eastAsia="zh-CN"/>
        </w:rPr>
      </w:pPr>
      <w:r>
        <w:rPr>
          <w:rFonts w:hint="eastAsia"/>
          <w:highlight w:val="none"/>
          <w:lang w:val="en-US" w:eastAsia="zh-CN"/>
        </w:rPr>
        <w:t>不得列入运营成本的费用。</w:t>
      </w:r>
    </w:p>
    <w:p w14:paraId="54FBA4D5">
      <w:pPr>
        <w:bidi w:val="0"/>
        <w:rPr>
          <w:rFonts w:hint="eastAsia"/>
          <w:highlight w:val="none"/>
          <w:lang w:val="en-US" w:eastAsia="zh-CN"/>
        </w:rPr>
      </w:pPr>
      <w:r>
        <w:rPr>
          <w:rFonts w:hint="eastAsia"/>
          <w:highlight w:val="none"/>
          <w:lang w:val="en-US" w:eastAsia="zh-CN"/>
        </w:rPr>
        <w:t>1.不符合《中华人民共和国会计法》等有关法律、行政法规，财务制度和国家统一的会计制度的费用；</w:t>
      </w:r>
    </w:p>
    <w:p w14:paraId="1689A47F">
      <w:pPr>
        <w:bidi w:val="0"/>
        <w:rPr>
          <w:rFonts w:hint="eastAsia"/>
          <w:highlight w:val="none"/>
          <w:lang w:val="en-US" w:eastAsia="zh-CN"/>
        </w:rPr>
      </w:pPr>
      <w:r>
        <w:rPr>
          <w:rFonts w:hint="eastAsia"/>
          <w:highlight w:val="none"/>
          <w:lang w:val="en-US" w:eastAsia="zh-CN"/>
        </w:rPr>
        <w:t>2.与公交运营活动无关的费用；</w:t>
      </w:r>
    </w:p>
    <w:p w14:paraId="16BBBB80">
      <w:pPr>
        <w:bidi w:val="0"/>
        <w:rPr>
          <w:rFonts w:hint="eastAsia"/>
          <w:highlight w:val="none"/>
          <w:lang w:val="en-US" w:eastAsia="zh-CN"/>
        </w:rPr>
      </w:pPr>
      <w:r>
        <w:rPr>
          <w:rFonts w:hint="eastAsia"/>
          <w:highlight w:val="none"/>
          <w:lang w:val="en-US" w:eastAsia="zh-CN"/>
        </w:rPr>
        <w:t>3. 各类未经上级批准的捐赠、赞助，罚款、违约金、罚息、被没收的财物，以及计提的各种准备金；</w:t>
      </w:r>
    </w:p>
    <w:p w14:paraId="296E47B1">
      <w:pPr>
        <w:bidi w:val="0"/>
        <w:rPr>
          <w:rFonts w:hint="eastAsia"/>
          <w:highlight w:val="none"/>
          <w:lang w:val="en-US" w:eastAsia="zh-CN"/>
        </w:rPr>
      </w:pPr>
      <w:r>
        <w:rPr>
          <w:rFonts w:hint="eastAsia"/>
          <w:highlight w:val="none"/>
          <w:lang w:val="en-US" w:eastAsia="zh-CN"/>
        </w:rPr>
        <w:t>4. 其他不合理费用。</w:t>
      </w:r>
    </w:p>
    <w:p w14:paraId="1EFC894A">
      <w:pPr>
        <w:pStyle w:val="7"/>
        <w:bidi w:val="0"/>
        <w:rPr>
          <w:rFonts w:hint="eastAsia"/>
          <w:highlight w:val="none"/>
          <w:lang w:val="en-US" w:eastAsia="zh-CN"/>
        </w:rPr>
      </w:pPr>
      <w:r>
        <w:rPr>
          <w:rFonts w:hint="eastAsia"/>
          <w:highlight w:val="none"/>
          <w:lang w:val="en-US" w:eastAsia="zh-CN"/>
        </w:rPr>
        <w:t>第三章 规制方法</w:t>
      </w:r>
    </w:p>
    <w:p w14:paraId="3A8B3C82">
      <w:pPr>
        <w:pStyle w:val="18"/>
        <w:bidi w:val="0"/>
        <w:rPr>
          <w:rFonts w:hint="default"/>
          <w:highlight w:val="none"/>
          <w:lang w:val="en-US" w:eastAsia="zh-CN"/>
        </w:rPr>
      </w:pPr>
      <w:r>
        <w:rPr>
          <w:rFonts w:hint="eastAsia"/>
          <w:highlight w:val="none"/>
          <w:lang w:val="en-US" w:eastAsia="zh-CN"/>
        </w:rPr>
        <w:t xml:space="preserve"> 公交企业各项运营成本按照以下方法进行核定</w:t>
      </w:r>
      <w:r>
        <w:rPr>
          <w:rFonts w:hint="default"/>
          <w:highlight w:val="none"/>
          <w:lang w:val="en-US" w:eastAsia="zh-CN"/>
        </w:rPr>
        <w:t>。</w:t>
      </w:r>
    </w:p>
    <w:p w14:paraId="1B646E6F">
      <w:pPr>
        <w:pStyle w:val="8"/>
        <w:numPr>
          <w:ilvl w:val="0"/>
          <w:numId w:val="5"/>
        </w:numPr>
        <w:bidi w:val="0"/>
        <w:rPr>
          <w:rFonts w:hint="default"/>
          <w:highlight w:val="none"/>
          <w:lang w:val="en-US" w:eastAsia="zh-CN"/>
        </w:rPr>
      </w:pPr>
      <w:r>
        <w:rPr>
          <w:rFonts w:hint="default"/>
          <w:highlight w:val="none"/>
          <w:lang w:val="en-US" w:eastAsia="zh-CN"/>
        </w:rPr>
        <w:t>人员工资及工资性支出</w:t>
      </w:r>
    </w:p>
    <w:p w14:paraId="407CC35F">
      <w:pPr>
        <w:bidi w:val="0"/>
        <w:rPr>
          <w:rFonts w:hint="eastAsia"/>
          <w:highlight w:val="none"/>
          <w:lang w:val="en-US" w:eastAsia="zh-CN"/>
        </w:rPr>
      </w:pPr>
      <w:r>
        <w:rPr>
          <w:rFonts w:hint="default"/>
          <w:highlight w:val="none"/>
          <w:lang w:val="en-US" w:eastAsia="zh-CN"/>
        </w:rPr>
        <w:t>规制方法：</w:t>
      </w:r>
      <w:r>
        <w:rPr>
          <w:rFonts w:hint="eastAsia"/>
          <w:highlight w:val="none"/>
          <w:lang w:val="en-US" w:eastAsia="zh-CN"/>
        </w:rPr>
        <w:t>设置驾驶员人数和其他人员人数规制上限。在规制人数上限范围内，结合平均工资水平和工资增长机制据实核定，超过规制范围部分不予核定。</w:t>
      </w:r>
    </w:p>
    <w:p w14:paraId="41662485">
      <w:pPr>
        <w:bidi w:val="0"/>
        <w:rPr>
          <w:rFonts w:hint="default"/>
          <w:highlight w:val="none"/>
          <w:lang w:val="en-US" w:eastAsia="zh-CN"/>
        </w:rPr>
      </w:pPr>
      <w:r>
        <w:rPr>
          <w:rFonts w:hint="default"/>
          <w:highlight w:val="none"/>
          <w:lang w:val="en-US" w:eastAsia="zh-CN"/>
        </w:rPr>
        <w:t>人员工资</w:t>
      </w:r>
      <w:r>
        <w:rPr>
          <w:rFonts w:hint="eastAsia"/>
          <w:highlight w:val="none"/>
          <w:lang w:val="en-US" w:eastAsia="zh-CN"/>
        </w:rPr>
        <w:t>总额按照驾驶员规制人数及其他人员规制人数、平均工资水平、工资增长率</w:t>
      </w:r>
      <w:r>
        <w:rPr>
          <w:rFonts w:hint="default"/>
          <w:highlight w:val="none"/>
          <w:lang w:val="en-US" w:eastAsia="zh-CN"/>
        </w:rPr>
        <w:t>核定</w:t>
      </w:r>
      <w:r>
        <w:rPr>
          <w:rFonts w:hint="eastAsia"/>
          <w:highlight w:val="none"/>
          <w:lang w:val="en-US" w:eastAsia="zh-CN"/>
        </w:rPr>
        <w:t>。</w:t>
      </w:r>
    </w:p>
    <w:p w14:paraId="2F367C44">
      <w:pPr>
        <w:rPr>
          <w:rFonts w:hint="default"/>
          <w:highlight w:val="none"/>
          <w:lang w:val="en-US" w:eastAsia="zh-CN"/>
        </w:rPr>
      </w:pPr>
      <w:r>
        <w:rPr>
          <w:rFonts w:hint="default"/>
          <w:highlight w:val="none"/>
          <w:lang w:val="en-US" w:eastAsia="zh-CN"/>
        </w:rPr>
        <w:t>工资</w:t>
      </w:r>
      <w:r>
        <w:rPr>
          <w:rFonts w:hint="eastAsia"/>
          <w:highlight w:val="none"/>
          <w:lang w:val="en-US" w:eastAsia="zh-CN"/>
        </w:rPr>
        <w:t>总额</w:t>
      </w:r>
      <w:r>
        <w:rPr>
          <w:rFonts w:hint="default"/>
          <w:highlight w:val="none"/>
          <w:lang w:val="en-US" w:eastAsia="zh-CN"/>
        </w:rPr>
        <w:t>=驾驶员</w:t>
      </w:r>
      <w:r>
        <w:rPr>
          <w:rFonts w:hint="eastAsia"/>
          <w:highlight w:val="none"/>
          <w:lang w:val="en-US" w:eastAsia="zh-CN"/>
        </w:rPr>
        <w:t>规制</w:t>
      </w:r>
      <w:r>
        <w:rPr>
          <w:rFonts w:hint="default"/>
          <w:highlight w:val="none"/>
          <w:lang w:val="en-US" w:eastAsia="zh-CN"/>
        </w:rPr>
        <w:t>人数×</w:t>
      </w:r>
      <w:r>
        <w:rPr>
          <w:rFonts w:hint="eastAsia"/>
          <w:highlight w:val="none"/>
          <w:lang w:val="en-US" w:eastAsia="zh-CN"/>
        </w:rPr>
        <w:t>驾驶员平</w:t>
      </w:r>
      <w:r>
        <w:rPr>
          <w:rFonts w:hint="default"/>
          <w:highlight w:val="none"/>
          <w:lang w:val="en-US" w:eastAsia="zh-CN"/>
        </w:rPr>
        <w:t>均工资</w:t>
      </w:r>
      <w:r>
        <w:rPr>
          <w:rFonts w:hint="eastAsia"/>
          <w:highlight w:val="none"/>
          <w:lang w:val="en-US" w:eastAsia="zh-CN"/>
        </w:rPr>
        <w:t>水平+其他人员规制</w:t>
      </w:r>
      <w:r>
        <w:rPr>
          <w:rFonts w:hint="default"/>
          <w:highlight w:val="none"/>
          <w:lang w:val="en-US" w:eastAsia="zh-CN"/>
        </w:rPr>
        <w:t>人数×</w:t>
      </w:r>
      <w:r>
        <w:rPr>
          <w:rFonts w:hint="eastAsia"/>
          <w:highlight w:val="none"/>
          <w:lang w:val="en-US" w:eastAsia="zh-CN"/>
        </w:rPr>
        <w:t>其他人员平均工资水平</w:t>
      </w:r>
    </w:p>
    <w:p w14:paraId="35B86DEC">
      <w:pPr>
        <w:bidi w:val="0"/>
        <w:rPr>
          <w:rFonts w:hint="default"/>
          <w:color w:val="auto"/>
          <w:highlight w:val="none"/>
          <w:lang w:val="en-US" w:eastAsia="zh-CN"/>
        </w:rPr>
      </w:pPr>
      <w:r>
        <w:rPr>
          <w:rFonts w:hint="eastAsia" w:ascii="Times New Roman" w:hAnsi="Times New Roman" w:eastAsia="仿宋_GB2312" w:cs="Times New Roman"/>
          <w:color w:val="auto"/>
          <w:sz w:val="32"/>
          <w:szCs w:val="20"/>
          <w:highlight w:val="none"/>
        </w:rPr>
        <w:t>其中：</w:t>
      </w:r>
      <w:r>
        <w:rPr>
          <w:rFonts w:hint="eastAsia" w:ascii="Times New Roman" w:hAnsi="Times New Roman" w:eastAsia="仿宋_GB2312" w:cs="Times New Roman"/>
          <w:color w:val="auto"/>
          <w:sz w:val="32"/>
          <w:szCs w:val="20"/>
          <w:highlight w:val="none"/>
          <w:lang w:val="en-US" w:eastAsia="zh-CN"/>
        </w:rPr>
        <w:t>按照《</w:t>
      </w:r>
      <w:r>
        <w:rPr>
          <w:rFonts w:hint="eastAsia" w:cs="Times New Roman"/>
          <w:color w:val="auto"/>
          <w:sz w:val="32"/>
          <w:szCs w:val="20"/>
          <w:highlight w:val="none"/>
          <w:lang w:val="en-US" w:eastAsia="zh-CN"/>
        </w:rPr>
        <w:t>中华人民共和国劳动法</w:t>
      </w:r>
      <w:r>
        <w:rPr>
          <w:rFonts w:hint="eastAsia" w:ascii="Times New Roman" w:hAnsi="Times New Roman" w:eastAsia="仿宋_GB2312" w:cs="Times New Roman"/>
          <w:color w:val="auto"/>
          <w:sz w:val="32"/>
          <w:szCs w:val="20"/>
          <w:highlight w:val="none"/>
          <w:lang w:val="en-US" w:eastAsia="zh-CN"/>
        </w:rPr>
        <w:t>》规定的工作时间</w:t>
      </w:r>
      <w:r>
        <w:rPr>
          <w:rFonts w:hint="eastAsia" w:cs="Times New Roman"/>
          <w:color w:val="auto"/>
          <w:sz w:val="32"/>
          <w:szCs w:val="20"/>
          <w:highlight w:val="none"/>
          <w:lang w:val="en-US" w:eastAsia="zh-CN"/>
        </w:rPr>
        <w:t>核定</w:t>
      </w:r>
      <w:r>
        <w:rPr>
          <w:rFonts w:hint="eastAsia" w:ascii="Times New Roman" w:hAnsi="Times New Roman" w:eastAsia="仿宋_GB2312" w:cs="Times New Roman"/>
          <w:color w:val="auto"/>
          <w:sz w:val="32"/>
          <w:szCs w:val="20"/>
          <w:highlight w:val="none"/>
          <w:lang w:val="en-US" w:eastAsia="zh-CN"/>
        </w:rPr>
        <w:t>驾驶</w:t>
      </w:r>
      <w:r>
        <w:rPr>
          <w:rFonts w:hint="eastAsia" w:cs="Times New Roman"/>
          <w:color w:val="auto"/>
          <w:sz w:val="32"/>
          <w:szCs w:val="20"/>
          <w:highlight w:val="none"/>
          <w:lang w:val="en-US" w:eastAsia="zh-CN"/>
        </w:rPr>
        <w:t>员规制人数，</w:t>
      </w:r>
      <w:r>
        <w:rPr>
          <w:rFonts w:hint="default"/>
          <w:color w:val="auto"/>
          <w:highlight w:val="none"/>
          <w:lang w:val="en-US" w:eastAsia="zh-CN"/>
        </w:rPr>
        <w:t>驾驶员</w:t>
      </w:r>
      <w:r>
        <w:rPr>
          <w:rFonts w:hint="eastAsia"/>
          <w:color w:val="auto"/>
          <w:highlight w:val="none"/>
          <w:lang w:val="en-US" w:eastAsia="zh-CN"/>
        </w:rPr>
        <w:t>规制</w:t>
      </w:r>
      <w:r>
        <w:rPr>
          <w:rFonts w:hint="default"/>
          <w:color w:val="auto"/>
          <w:highlight w:val="none"/>
          <w:lang w:val="en-US" w:eastAsia="zh-CN"/>
        </w:rPr>
        <w:t>人数</w:t>
      </w:r>
      <w:r>
        <w:rPr>
          <w:rFonts w:hint="eastAsia"/>
          <w:color w:val="auto"/>
          <w:highlight w:val="none"/>
          <w:lang w:val="en-US" w:eastAsia="zh-CN"/>
        </w:rPr>
        <w:t>=全部运营线路全年工作总时长/驾驶员人均年度工作时长，根据《关于职工全年月平均工作时间和工资折算问题的通知》（人社部发〔2025〕2号），每工作日工作8小时，驾驶员年工作小时数取1984小时/人；</w:t>
      </w:r>
    </w:p>
    <w:p w14:paraId="7EE5ABAC">
      <w:pPr>
        <w:spacing w:line="560" w:lineRule="exact"/>
        <w:ind w:firstLine="640"/>
        <w:rPr>
          <w:rFonts w:hint="eastAsia"/>
          <w:color w:val="auto"/>
          <w:highlight w:val="none"/>
          <w:lang w:val="en-US" w:eastAsia="zh-CN"/>
        </w:rPr>
      </w:pPr>
      <w:r>
        <w:rPr>
          <w:rFonts w:hint="eastAsia"/>
          <w:color w:val="auto"/>
          <w:highlight w:val="none"/>
          <w:lang w:val="en-US" w:eastAsia="zh-CN"/>
        </w:rPr>
        <w:t>其他</w:t>
      </w:r>
      <w:r>
        <w:rPr>
          <w:rFonts w:hint="default"/>
          <w:color w:val="auto"/>
          <w:highlight w:val="none"/>
          <w:lang w:val="en-US" w:eastAsia="zh-CN"/>
        </w:rPr>
        <w:t>人员</w:t>
      </w:r>
      <w:r>
        <w:rPr>
          <w:rFonts w:hint="eastAsia"/>
          <w:color w:val="auto"/>
          <w:highlight w:val="none"/>
          <w:lang w:val="en-US" w:eastAsia="zh-CN"/>
        </w:rPr>
        <w:t>规制</w:t>
      </w:r>
      <w:r>
        <w:rPr>
          <w:rFonts w:hint="default"/>
          <w:color w:val="auto"/>
          <w:highlight w:val="none"/>
          <w:lang w:val="en-US" w:eastAsia="zh-CN"/>
        </w:rPr>
        <w:t>人数</w:t>
      </w:r>
      <w:r>
        <w:rPr>
          <w:rFonts w:hint="eastAsia"/>
          <w:color w:val="auto"/>
          <w:highlight w:val="none"/>
          <w:lang w:val="en-US" w:eastAsia="zh-CN"/>
        </w:rPr>
        <w:t>按照驾驶员人数的0.55核定。其他人员规制人数=驾驶员人数×0.55；</w:t>
      </w:r>
    </w:p>
    <w:p w14:paraId="3C31D204">
      <w:pPr>
        <w:bidi w:val="0"/>
        <w:rPr>
          <w:rFonts w:hint="eastAsia" w:eastAsia="仿宋_GB2312"/>
          <w:highlight w:val="none"/>
          <w:lang w:val="en-US" w:eastAsia="zh-CN"/>
        </w:rPr>
      </w:pPr>
      <w:r>
        <w:rPr>
          <w:highlight w:val="none"/>
        </w:rPr>
        <w:t>公交企业建立职工工资增长机制，合理核定职工薪酬标准，逐年</w:t>
      </w:r>
      <w:r>
        <w:rPr>
          <w:rFonts w:hint="eastAsia"/>
          <w:highlight w:val="none"/>
          <w:lang w:val="en-US" w:eastAsia="zh-CN"/>
        </w:rPr>
        <w:t>达到城镇非私营单位</w:t>
      </w:r>
      <w:r>
        <w:rPr>
          <w:highlight w:val="none"/>
        </w:rPr>
        <w:t>从业人员工资收入水平，依法足额缴纳社会保险及住房公积金，保障职工合法权益</w:t>
      </w:r>
      <w:r>
        <w:rPr>
          <w:rFonts w:hint="eastAsia"/>
          <w:highlight w:val="none"/>
          <w:lang w:eastAsia="zh-CN"/>
        </w:rPr>
        <w:t>。</w:t>
      </w:r>
    </w:p>
    <w:p w14:paraId="6E8E944C">
      <w:pPr>
        <w:rPr>
          <w:rFonts w:hint="default"/>
          <w:highlight w:val="none"/>
          <w:lang w:val="en-US" w:eastAsia="zh-CN"/>
        </w:rPr>
      </w:pPr>
      <w:r>
        <w:rPr>
          <w:rFonts w:hint="default"/>
          <w:highlight w:val="none"/>
          <w:lang w:val="en-US" w:eastAsia="zh-CN"/>
        </w:rPr>
        <w:t>职工社会保障费、工会经费、职工教育经费等费用按照职工工资总额和政府规定的计提比例</w:t>
      </w:r>
      <w:r>
        <w:rPr>
          <w:rFonts w:hint="eastAsia"/>
          <w:highlight w:val="none"/>
          <w:lang w:val="en-US" w:eastAsia="zh-CN"/>
        </w:rPr>
        <w:t>据实</w:t>
      </w:r>
      <w:r>
        <w:rPr>
          <w:rFonts w:hint="default"/>
          <w:highlight w:val="none"/>
          <w:lang w:val="en-US" w:eastAsia="zh-CN"/>
        </w:rPr>
        <w:t>核定。</w:t>
      </w:r>
    </w:p>
    <w:p w14:paraId="674FC7AC">
      <w:pPr>
        <w:pStyle w:val="8"/>
        <w:numPr>
          <w:ilvl w:val="0"/>
          <w:numId w:val="5"/>
        </w:numPr>
        <w:bidi w:val="0"/>
        <w:rPr>
          <w:rFonts w:hint="default"/>
          <w:highlight w:val="none"/>
          <w:lang w:val="en-US" w:eastAsia="zh-CN"/>
        </w:rPr>
      </w:pPr>
      <w:r>
        <w:rPr>
          <w:rFonts w:hint="eastAsia"/>
          <w:highlight w:val="none"/>
          <w:lang w:val="en-US" w:eastAsia="zh-CN"/>
        </w:rPr>
        <w:t>能源消耗费</w:t>
      </w:r>
    </w:p>
    <w:p w14:paraId="69812ED0">
      <w:pPr>
        <w:rPr>
          <w:rFonts w:hint="default"/>
          <w:highlight w:val="none"/>
          <w:lang w:val="en-US" w:eastAsia="zh-CN"/>
        </w:rPr>
      </w:pPr>
      <w:r>
        <w:rPr>
          <w:rFonts w:hint="default"/>
          <w:highlight w:val="none"/>
          <w:lang w:val="en-US" w:eastAsia="zh-CN"/>
        </w:rPr>
        <w:t>规制方法：</w:t>
      </w:r>
      <w:r>
        <w:rPr>
          <w:rFonts w:hint="eastAsia"/>
          <w:highlight w:val="none"/>
          <w:lang w:val="en-US" w:eastAsia="zh-CN"/>
        </w:rPr>
        <w:t>按照车型设置百公里能耗标准值。在标准值范围内，结合运营里程及能耗单价据实核定；超过标准值部分，不予核定。</w:t>
      </w:r>
    </w:p>
    <w:p w14:paraId="0F556C90">
      <w:pPr>
        <w:bidi w:val="0"/>
        <w:rPr>
          <w:rFonts w:hint="default"/>
          <w:highlight w:val="none"/>
          <w:lang w:val="en-US" w:eastAsia="zh-CN"/>
        </w:rPr>
      </w:pPr>
      <w:r>
        <w:rPr>
          <w:rFonts w:hint="eastAsia"/>
          <w:highlight w:val="none"/>
          <w:lang w:val="en-US" w:eastAsia="zh-CN"/>
        </w:rPr>
        <w:t>能源消耗</w:t>
      </w:r>
      <w:r>
        <w:rPr>
          <w:rFonts w:hint="default"/>
          <w:highlight w:val="none"/>
          <w:lang w:val="en-US" w:eastAsia="zh-CN"/>
        </w:rPr>
        <w:t>费=Σ（百公里</w:t>
      </w:r>
      <w:r>
        <w:rPr>
          <w:rFonts w:hint="eastAsia"/>
          <w:highlight w:val="none"/>
          <w:lang w:val="en-US" w:eastAsia="zh-CN"/>
        </w:rPr>
        <w:t>能耗</w:t>
      </w:r>
      <w:r>
        <w:rPr>
          <w:rFonts w:hint="default"/>
          <w:highlight w:val="none"/>
          <w:lang w:val="en-US" w:eastAsia="zh-CN"/>
        </w:rPr>
        <w:t>标准值×对应</w:t>
      </w:r>
      <w:r>
        <w:rPr>
          <w:rFonts w:hint="eastAsia"/>
          <w:highlight w:val="none"/>
          <w:lang w:val="en-US" w:eastAsia="zh-CN"/>
        </w:rPr>
        <w:t>能源类型车辆</w:t>
      </w:r>
      <w:r>
        <w:rPr>
          <w:rFonts w:hint="default"/>
          <w:highlight w:val="none"/>
          <w:lang w:val="en-US" w:eastAsia="zh-CN"/>
        </w:rPr>
        <w:t>运营里程×</w:t>
      </w:r>
      <w:r>
        <w:rPr>
          <w:rFonts w:hint="eastAsia"/>
          <w:highlight w:val="none"/>
          <w:lang w:val="en-US" w:eastAsia="zh-CN"/>
        </w:rPr>
        <w:t>能源单价（含充电服务费）</w:t>
      </w:r>
      <w:r>
        <w:rPr>
          <w:rFonts w:hint="default"/>
          <w:highlight w:val="none"/>
          <w:lang w:val="en-US" w:eastAsia="zh-CN"/>
        </w:rPr>
        <w:t>）</w:t>
      </w:r>
    </w:p>
    <w:p w14:paraId="60C0AFE2">
      <w:pPr>
        <w:rPr>
          <w:rFonts w:hint="eastAsia"/>
          <w:highlight w:val="none"/>
          <w:lang w:val="en-US" w:eastAsia="zh-CN"/>
        </w:rPr>
      </w:pPr>
      <w:r>
        <w:rPr>
          <w:rFonts w:hint="eastAsia"/>
          <w:highlight w:val="none"/>
          <w:lang w:val="en-US" w:eastAsia="zh-CN"/>
        </w:rPr>
        <w:t>根据近3年车辆能耗水平及现有车辆使用情况，按车型设定百公里燃料（电力）消耗量标准值。新增车辆以当年百公里消耗量为标准值。能耗标准值详见附件1，能源</w:t>
      </w:r>
      <w:r>
        <w:rPr>
          <w:rFonts w:hint="default"/>
          <w:highlight w:val="none"/>
          <w:lang w:val="en-US" w:eastAsia="zh-CN"/>
        </w:rPr>
        <w:t>单价</w:t>
      </w:r>
      <w:r>
        <w:rPr>
          <w:rFonts w:hint="eastAsia"/>
          <w:highlight w:val="none"/>
          <w:lang w:val="en-US" w:eastAsia="zh-CN"/>
        </w:rPr>
        <w:t>（含充电服务费）</w:t>
      </w:r>
      <w:r>
        <w:rPr>
          <w:rFonts w:hint="default"/>
          <w:highlight w:val="none"/>
          <w:lang w:val="en-US" w:eastAsia="zh-CN"/>
        </w:rPr>
        <w:t>据实核定</w:t>
      </w:r>
      <w:r>
        <w:rPr>
          <w:rFonts w:hint="eastAsia"/>
          <w:highlight w:val="none"/>
          <w:lang w:val="en-US" w:eastAsia="zh-CN"/>
        </w:rPr>
        <w:t>。</w:t>
      </w:r>
    </w:p>
    <w:p w14:paraId="0EA54F5B">
      <w:pPr>
        <w:bidi w:val="0"/>
        <w:rPr>
          <w:rFonts w:hint="eastAsia"/>
          <w:highlight w:val="none"/>
          <w:lang w:val="en-US" w:eastAsia="zh-CN"/>
        </w:rPr>
      </w:pPr>
      <w:r>
        <w:rPr>
          <w:rFonts w:hint="eastAsia"/>
          <w:highlight w:val="none"/>
          <w:lang w:val="en-US" w:eastAsia="zh-CN"/>
        </w:rPr>
        <w:t>公交车辆在冬季因取暖额外产生的能源消耗费，据实核定。</w:t>
      </w:r>
    </w:p>
    <w:p w14:paraId="282514DD">
      <w:pPr>
        <w:pStyle w:val="8"/>
        <w:numPr>
          <w:ilvl w:val="0"/>
          <w:numId w:val="5"/>
        </w:numPr>
        <w:bidi w:val="0"/>
        <w:rPr>
          <w:rFonts w:hint="default"/>
          <w:highlight w:val="none"/>
          <w:lang w:val="en-US" w:eastAsia="zh-CN"/>
        </w:rPr>
      </w:pPr>
      <w:r>
        <w:rPr>
          <w:rFonts w:hint="default"/>
          <w:highlight w:val="none"/>
          <w:lang w:val="en-US" w:eastAsia="zh-CN"/>
        </w:rPr>
        <w:t>固定资产折旧费</w:t>
      </w:r>
    </w:p>
    <w:p w14:paraId="4CFFF4D5">
      <w:pPr>
        <w:pStyle w:val="3"/>
        <w:keepNext w:val="0"/>
        <w:keepLines w:val="0"/>
        <w:pageBreakBefore w:val="0"/>
        <w:widowControl w:val="0"/>
        <w:kinsoku/>
        <w:wordWrap/>
        <w:overflowPunct/>
        <w:topLinePunct w:val="0"/>
        <w:autoSpaceDE/>
        <w:autoSpaceDN/>
        <w:bidi w:val="0"/>
        <w:adjustRightInd/>
        <w:snapToGrid/>
        <w:spacing w:afterLines="0" w:line="240" w:lineRule="auto"/>
        <w:ind w:leftChars="0" w:firstLine="640" w:firstLineChars="200"/>
        <w:textAlignment w:val="auto"/>
        <w:rPr>
          <w:rFonts w:hint="default" w:ascii="Times New Roman" w:hAnsi="Times New Roman" w:eastAsia="仿宋_GB2312" w:cs="Times New Roman"/>
          <w:highlight w:val="none"/>
          <w:lang w:val="en-US" w:eastAsia="zh-CN"/>
        </w:rPr>
      </w:pPr>
      <w:r>
        <w:rPr>
          <w:rFonts w:hint="eastAsia" w:cs="Times New Roman"/>
          <w:highlight w:val="none"/>
          <w:lang w:val="en-US" w:eastAsia="zh-CN"/>
        </w:rPr>
        <w:t>规制方法：</w:t>
      </w:r>
      <w:r>
        <w:rPr>
          <w:rFonts w:hint="default" w:ascii="Times New Roman" w:hAnsi="Times New Roman" w:eastAsia="仿宋_GB2312" w:cs="Times New Roman"/>
          <w:highlight w:val="none"/>
          <w:lang w:val="en-US" w:eastAsia="zh-CN"/>
        </w:rPr>
        <w:t>固定资产折旧应按照国家</w:t>
      </w:r>
      <w:r>
        <w:rPr>
          <w:rFonts w:hint="eastAsia" w:cs="Times New Roman"/>
          <w:highlight w:val="none"/>
          <w:lang w:val="en-US" w:eastAsia="zh-CN"/>
        </w:rPr>
        <w:t>和自治区</w:t>
      </w:r>
      <w:r>
        <w:rPr>
          <w:rFonts w:hint="default" w:ascii="Times New Roman" w:hAnsi="Times New Roman" w:eastAsia="仿宋_GB2312" w:cs="Times New Roman"/>
          <w:highlight w:val="none"/>
          <w:lang w:val="en-US" w:eastAsia="zh-CN"/>
        </w:rPr>
        <w:t>有关规定确定的固定资产折旧年限和残值率</w:t>
      </w:r>
      <w:r>
        <w:rPr>
          <w:rFonts w:hint="eastAsia" w:cs="Times New Roman"/>
          <w:highlight w:val="none"/>
          <w:lang w:val="en-US" w:eastAsia="zh-CN"/>
        </w:rPr>
        <w:t>计提，计提</w:t>
      </w:r>
      <w:r>
        <w:rPr>
          <w:rFonts w:hint="default" w:ascii="Times New Roman" w:hAnsi="Times New Roman" w:eastAsia="仿宋_GB2312" w:cs="Times New Roman"/>
          <w:highlight w:val="none"/>
          <w:lang w:val="en-US" w:eastAsia="zh-CN"/>
        </w:rPr>
        <w:t>的折旧据实核定。</w:t>
      </w:r>
    </w:p>
    <w:p w14:paraId="47D5947C">
      <w:pPr>
        <w:pStyle w:val="3"/>
        <w:keepNext w:val="0"/>
        <w:keepLines w:val="0"/>
        <w:pageBreakBefore w:val="0"/>
        <w:widowControl w:val="0"/>
        <w:kinsoku/>
        <w:wordWrap/>
        <w:overflowPunct/>
        <w:topLinePunct w:val="0"/>
        <w:autoSpaceDE/>
        <w:autoSpaceDN/>
        <w:bidi w:val="0"/>
        <w:adjustRightInd/>
        <w:snapToGrid/>
        <w:spacing w:afterLines="0" w:line="240" w:lineRule="auto"/>
        <w:ind w:leftChars="0" w:firstLine="640" w:firstLineChars="200"/>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由政府投资或社会无偿投入形成的固定资产和评估增值固定资产不计入固定资产折旧费，固定资产盘亏、毁损、闲置、自主提前报废和处置净损失不计入固定资产折旧费。</w:t>
      </w:r>
    </w:p>
    <w:p w14:paraId="31837DC6">
      <w:pPr>
        <w:pStyle w:val="8"/>
        <w:numPr>
          <w:ilvl w:val="0"/>
          <w:numId w:val="5"/>
        </w:numPr>
        <w:bidi w:val="0"/>
        <w:rPr>
          <w:rFonts w:hint="default"/>
          <w:highlight w:val="none"/>
          <w:lang w:val="en-US" w:eastAsia="zh-CN"/>
        </w:rPr>
      </w:pPr>
      <w:r>
        <w:rPr>
          <w:rFonts w:hint="eastAsia"/>
          <w:highlight w:val="none"/>
          <w:lang w:val="en-US" w:eastAsia="zh-CN"/>
        </w:rPr>
        <w:t>维修费</w:t>
      </w:r>
    </w:p>
    <w:p w14:paraId="181E1179">
      <w:pPr>
        <w:bidi w:val="0"/>
        <w:rPr>
          <w:rFonts w:hint="eastAsia"/>
          <w:highlight w:val="none"/>
          <w:lang w:val="en-US" w:eastAsia="zh-CN"/>
        </w:rPr>
      </w:pPr>
      <w:r>
        <w:rPr>
          <w:rFonts w:hint="eastAsia"/>
          <w:highlight w:val="none"/>
          <w:lang w:val="en-US" w:eastAsia="zh-CN"/>
        </w:rPr>
        <w:t>规制方法：设置维修费标准值。在标准值范围内，结合运营里程据实核定；超过标准值部分，不予核定。</w:t>
      </w:r>
    </w:p>
    <w:p w14:paraId="20CA7AF5">
      <w:pPr>
        <w:bidi w:val="0"/>
        <w:rPr>
          <w:rFonts w:hint="default"/>
          <w:highlight w:val="none"/>
          <w:lang w:val="en-US" w:eastAsia="zh-CN"/>
        </w:rPr>
      </w:pPr>
      <w:r>
        <w:rPr>
          <w:rFonts w:hint="eastAsia"/>
          <w:highlight w:val="none"/>
          <w:lang w:val="en-US" w:eastAsia="zh-CN"/>
        </w:rPr>
        <w:t>维修费=维修费标准值</w:t>
      </w:r>
      <w:r>
        <w:rPr>
          <w:rFonts w:hint="default"/>
          <w:highlight w:val="none"/>
          <w:lang w:val="en-US" w:eastAsia="zh-CN"/>
        </w:rPr>
        <w:t>×</w:t>
      </w:r>
      <w:r>
        <w:rPr>
          <w:rFonts w:hint="eastAsia"/>
          <w:highlight w:val="none"/>
          <w:lang w:val="en-US" w:eastAsia="zh-CN"/>
        </w:rPr>
        <w:t>运营里程</w:t>
      </w:r>
    </w:p>
    <w:p w14:paraId="23DB32EE">
      <w:pPr>
        <w:bidi w:val="0"/>
        <w:rPr>
          <w:rFonts w:hint="default"/>
          <w:highlight w:val="none"/>
          <w:lang w:val="en-US" w:eastAsia="zh-CN"/>
        </w:rPr>
      </w:pPr>
      <w:r>
        <w:rPr>
          <w:rFonts w:hint="eastAsia"/>
          <w:highlight w:val="none"/>
          <w:lang w:val="en-US" w:eastAsia="zh-CN"/>
        </w:rPr>
        <w:t>根据近3年车辆能耗水平及现有车辆使用情况，设定百公里维修费标准值，百公里能耗标准值见附件2。</w:t>
      </w:r>
    </w:p>
    <w:p w14:paraId="0E2A0A04">
      <w:pPr>
        <w:bidi w:val="0"/>
        <w:rPr>
          <w:rFonts w:hint="default"/>
          <w:highlight w:val="none"/>
          <w:lang w:val="en-US" w:eastAsia="zh-CN"/>
        </w:rPr>
      </w:pPr>
      <w:r>
        <w:rPr>
          <w:rFonts w:hint="default"/>
          <w:highlight w:val="none"/>
          <w:lang w:val="en-US" w:eastAsia="zh-CN"/>
        </w:rPr>
        <w:t>电池均衡、驱动电机特殊维护等新能源系统维护项目费用单独分类核算。如当年产生相关费用，公交企业应当提前向</w:t>
      </w:r>
      <w:r>
        <w:rPr>
          <w:rFonts w:hint="eastAsia"/>
          <w:highlight w:val="none"/>
          <w:lang w:val="en-US" w:eastAsia="zh-CN"/>
        </w:rPr>
        <w:t>区财政局、交通运输局</w:t>
      </w:r>
      <w:r>
        <w:rPr>
          <w:rFonts w:hint="default"/>
          <w:highlight w:val="none"/>
          <w:lang w:val="en-US" w:eastAsia="zh-CN"/>
        </w:rPr>
        <w:t>报告，经批准后据实核定。</w:t>
      </w:r>
    </w:p>
    <w:p w14:paraId="028CB4D1">
      <w:pPr>
        <w:pStyle w:val="8"/>
        <w:numPr>
          <w:ilvl w:val="0"/>
          <w:numId w:val="5"/>
        </w:numPr>
        <w:bidi w:val="0"/>
        <w:rPr>
          <w:rFonts w:hint="default"/>
          <w:highlight w:val="none"/>
          <w:lang w:val="en-US" w:eastAsia="zh-CN"/>
        </w:rPr>
      </w:pPr>
      <w:r>
        <w:rPr>
          <w:rFonts w:hint="eastAsia"/>
          <w:highlight w:val="none"/>
          <w:lang w:val="en-US" w:eastAsia="zh-CN"/>
        </w:rPr>
        <w:t>轮胎消耗费</w:t>
      </w:r>
    </w:p>
    <w:p w14:paraId="0CE6D615">
      <w:pPr>
        <w:bidi w:val="0"/>
        <w:rPr>
          <w:rFonts w:hint="default"/>
          <w:highlight w:val="none"/>
          <w:lang w:val="en-US" w:eastAsia="zh-CN"/>
        </w:rPr>
      </w:pPr>
      <w:r>
        <w:rPr>
          <w:rFonts w:hint="default"/>
          <w:highlight w:val="none"/>
          <w:lang w:val="en-US" w:eastAsia="zh-CN"/>
        </w:rPr>
        <w:t>轮胎消耗费按照</w:t>
      </w:r>
      <w:r>
        <w:rPr>
          <w:rFonts w:hint="eastAsia"/>
          <w:highlight w:val="none"/>
          <w:lang w:val="en-US" w:eastAsia="zh-CN"/>
        </w:rPr>
        <w:t>不低于</w:t>
      </w:r>
      <w:r>
        <w:rPr>
          <w:rFonts w:hint="default"/>
          <w:highlight w:val="none"/>
          <w:lang w:val="en-US" w:eastAsia="zh-CN"/>
        </w:rPr>
        <w:t>15万公里更新一次轮胎，</w:t>
      </w:r>
      <w:r>
        <w:rPr>
          <w:rFonts w:hint="eastAsia"/>
          <w:highlight w:val="none"/>
          <w:lang w:val="en-US" w:eastAsia="zh-CN"/>
        </w:rPr>
        <w:t>更新轮胎</w:t>
      </w:r>
      <w:r>
        <w:rPr>
          <w:rFonts w:hint="default"/>
          <w:highlight w:val="none"/>
          <w:lang w:val="en-US" w:eastAsia="zh-CN"/>
        </w:rPr>
        <w:t>严禁使用翻新胎及低质轮胎</w:t>
      </w:r>
      <w:r>
        <w:rPr>
          <w:rFonts w:hint="eastAsia"/>
          <w:highlight w:val="none"/>
          <w:lang w:val="en-US" w:eastAsia="zh-CN"/>
        </w:rPr>
        <w:t>，</w:t>
      </w:r>
      <w:r>
        <w:rPr>
          <w:rFonts w:hint="default"/>
          <w:highlight w:val="none"/>
          <w:lang w:val="en-US" w:eastAsia="zh-CN"/>
        </w:rPr>
        <w:t>轮胎规制价格</w:t>
      </w:r>
      <w:r>
        <w:rPr>
          <w:rFonts w:hint="eastAsia"/>
          <w:highlight w:val="none"/>
          <w:lang w:val="en-US" w:eastAsia="zh-CN"/>
        </w:rPr>
        <w:t>按照市场同期价格据实</w:t>
      </w:r>
      <w:r>
        <w:rPr>
          <w:rFonts w:hint="default"/>
          <w:highlight w:val="none"/>
          <w:lang w:val="en-US" w:eastAsia="zh-CN"/>
        </w:rPr>
        <w:t>执行。</w:t>
      </w:r>
    </w:p>
    <w:p w14:paraId="31BE4871">
      <w:pPr>
        <w:pStyle w:val="8"/>
        <w:numPr>
          <w:ilvl w:val="0"/>
          <w:numId w:val="5"/>
        </w:numPr>
        <w:bidi w:val="0"/>
        <w:rPr>
          <w:highlight w:val="none"/>
        </w:rPr>
      </w:pPr>
      <w:r>
        <w:rPr>
          <w:rFonts w:hint="eastAsia"/>
          <w:highlight w:val="none"/>
        </w:rPr>
        <w:t>保险费和事故损失费</w:t>
      </w:r>
    </w:p>
    <w:p w14:paraId="692613C1">
      <w:pPr>
        <w:shd w:val="clear"/>
        <w:bidi w:val="0"/>
        <w:rPr>
          <w:rFonts w:hint="eastAsia"/>
          <w:highlight w:val="none"/>
        </w:rPr>
      </w:pPr>
      <w:r>
        <w:rPr>
          <w:rFonts w:hint="eastAsia"/>
          <w:highlight w:val="none"/>
        </w:rPr>
        <w:t>公交企业按照国家有关规定购买的交强险、</w:t>
      </w:r>
      <w:r>
        <w:rPr>
          <w:rFonts w:hint="eastAsia"/>
          <w:highlight w:val="none"/>
          <w:lang w:val="en-US" w:eastAsia="zh-CN"/>
        </w:rPr>
        <w:t>第三者责任险（100万元保额）</w:t>
      </w:r>
      <w:r>
        <w:rPr>
          <w:rFonts w:hint="eastAsia"/>
          <w:highlight w:val="none"/>
        </w:rPr>
        <w:t>等保险费</w:t>
      </w:r>
      <w:r>
        <w:rPr>
          <w:rFonts w:hint="eastAsia"/>
          <w:highlight w:val="none"/>
          <w:lang w:eastAsia="zh-CN"/>
        </w:rPr>
        <w:t>，</w:t>
      </w:r>
      <w:r>
        <w:rPr>
          <w:rFonts w:hint="eastAsia"/>
          <w:highlight w:val="none"/>
          <w:lang w:val="en-US" w:eastAsia="zh-CN"/>
        </w:rPr>
        <w:t>经</w:t>
      </w:r>
      <w:r>
        <w:rPr>
          <w:rFonts w:hint="default"/>
          <w:highlight w:val="none"/>
          <w:lang w:val="en-US" w:eastAsia="zh-CN"/>
        </w:rPr>
        <w:t>第三方成本监审后</w:t>
      </w:r>
      <w:r>
        <w:rPr>
          <w:rFonts w:hint="eastAsia"/>
          <w:highlight w:val="none"/>
        </w:rPr>
        <w:t>据实核定</w:t>
      </w:r>
      <w:r>
        <w:rPr>
          <w:rFonts w:hint="eastAsia"/>
          <w:highlight w:val="none"/>
          <w:lang w:eastAsia="zh-CN"/>
        </w:rPr>
        <w:t>；</w:t>
      </w:r>
      <w:r>
        <w:rPr>
          <w:rFonts w:hint="eastAsia"/>
          <w:highlight w:val="none"/>
          <w:lang w:val="en-US" w:eastAsia="zh-CN"/>
        </w:rPr>
        <w:t>事故损失费设定0.2万元/车·年规制上限，在规制范围内据实核定，超过规制范围部分不予核定。</w:t>
      </w:r>
    </w:p>
    <w:p w14:paraId="6ED526C8">
      <w:pPr>
        <w:pStyle w:val="8"/>
        <w:numPr>
          <w:ilvl w:val="0"/>
          <w:numId w:val="5"/>
        </w:numPr>
        <w:bidi w:val="0"/>
        <w:rPr>
          <w:rFonts w:hint="default"/>
          <w:highlight w:val="none"/>
          <w:lang w:val="en-US" w:eastAsia="zh-CN"/>
        </w:rPr>
      </w:pPr>
      <w:r>
        <w:rPr>
          <w:rFonts w:hint="eastAsia"/>
          <w:highlight w:val="none"/>
          <w:lang w:val="en-US" w:eastAsia="zh-CN"/>
        </w:rPr>
        <w:t>安全生产费</w:t>
      </w:r>
    </w:p>
    <w:p w14:paraId="2BA7E548">
      <w:pPr>
        <w:rPr>
          <w:rFonts w:hint="default"/>
          <w:highlight w:val="none"/>
          <w:lang w:val="en-US" w:eastAsia="zh-CN"/>
        </w:rPr>
      </w:pPr>
      <w:r>
        <w:rPr>
          <w:rFonts w:hint="default"/>
          <w:highlight w:val="none"/>
          <w:lang w:val="en-US" w:eastAsia="zh-CN"/>
        </w:rPr>
        <w:t>安全生产费按照《企业安全生产费用提取和使用管理办法》（财资〔2022〕136号）</w:t>
      </w:r>
      <w:r>
        <w:rPr>
          <w:rFonts w:hint="eastAsia"/>
          <w:highlight w:val="none"/>
          <w:lang w:val="en-US" w:eastAsia="zh-CN"/>
        </w:rPr>
        <w:t>规定计提和使用，按照上年度主营业务收入的1.5%计提，</w:t>
      </w:r>
      <w:r>
        <w:rPr>
          <w:rFonts w:hint="default"/>
          <w:highlight w:val="none"/>
          <w:lang w:val="en-US" w:eastAsia="zh-CN"/>
        </w:rPr>
        <w:t>对支出范围符合要求的安全生产费，据实核定。</w:t>
      </w:r>
    </w:p>
    <w:p w14:paraId="0DF62438">
      <w:pPr>
        <w:pStyle w:val="8"/>
        <w:numPr>
          <w:ilvl w:val="0"/>
          <w:numId w:val="5"/>
        </w:numPr>
        <w:bidi w:val="0"/>
        <w:rPr>
          <w:rFonts w:hint="default"/>
          <w:highlight w:val="none"/>
          <w:lang w:val="en-US" w:eastAsia="zh-CN"/>
        </w:rPr>
      </w:pPr>
      <w:r>
        <w:rPr>
          <w:rFonts w:hint="eastAsia"/>
          <w:highlight w:val="none"/>
          <w:lang w:val="en-US" w:eastAsia="zh-CN"/>
        </w:rPr>
        <w:t>其他</w:t>
      </w:r>
      <w:r>
        <w:rPr>
          <w:rFonts w:hint="default"/>
          <w:highlight w:val="none"/>
          <w:lang w:val="en-US" w:eastAsia="zh-CN"/>
        </w:rPr>
        <w:t>直接运营费</w:t>
      </w:r>
    </w:p>
    <w:p w14:paraId="6FDB64E8">
      <w:pPr>
        <w:bidi w:val="0"/>
        <w:rPr>
          <w:rFonts w:hint="default"/>
          <w:highlight w:val="none"/>
          <w:lang w:val="en-US" w:eastAsia="zh-CN"/>
        </w:rPr>
      </w:pPr>
      <w:r>
        <w:rPr>
          <w:rFonts w:hint="eastAsia"/>
          <w:highlight w:val="none"/>
          <w:lang w:val="en-US" w:eastAsia="zh-CN"/>
        </w:rPr>
        <w:t>其他</w:t>
      </w:r>
      <w:r>
        <w:rPr>
          <w:rFonts w:hint="default"/>
          <w:highlight w:val="none"/>
          <w:lang w:val="en-US" w:eastAsia="zh-CN"/>
        </w:rPr>
        <w:t>直接运营费经过第三方成本监审后据实核定。各项明细项目要单独列明。</w:t>
      </w:r>
    </w:p>
    <w:p w14:paraId="018B33AB">
      <w:pPr>
        <w:pStyle w:val="8"/>
        <w:numPr>
          <w:ilvl w:val="0"/>
          <w:numId w:val="5"/>
        </w:numPr>
        <w:bidi w:val="0"/>
        <w:rPr>
          <w:rFonts w:hint="default"/>
          <w:highlight w:val="none"/>
          <w:lang w:val="en-US" w:eastAsia="zh-CN"/>
        </w:rPr>
      </w:pPr>
      <w:r>
        <w:rPr>
          <w:rFonts w:hint="eastAsia"/>
          <w:highlight w:val="none"/>
          <w:lang w:val="en-US" w:eastAsia="zh-CN"/>
        </w:rPr>
        <w:t>管理费用</w:t>
      </w:r>
    </w:p>
    <w:p w14:paraId="636AB431">
      <w:pPr>
        <w:bidi w:val="0"/>
        <w:rPr>
          <w:rFonts w:hint="eastAsia"/>
          <w:highlight w:val="none"/>
          <w:lang w:val="en-US" w:eastAsia="zh-CN"/>
        </w:rPr>
      </w:pPr>
      <w:bookmarkStart w:id="0" w:name="_Toc430956424"/>
      <w:r>
        <w:rPr>
          <w:rFonts w:hint="eastAsia"/>
          <w:highlight w:val="none"/>
          <w:lang w:val="en-US" w:eastAsia="zh-CN"/>
        </w:rPr>
        <w:t>管理费用经过第三方成本监审后据实核定。各项明细项目要单独列明。</w:t>
      </w:r>
    </w:p>
    <w:bookmarkEnd w:id="0"/>
    <w:p w14:paraId="693C1C6E">
      <w:pPr>
        <w:pStyle w:val="8"/>
        <w:numPr>
          <w:ilvl w:val="0"/>
          <w:numId w:val="5"/>
        </w:numPr>
        <w:bidi w:val="0"/>
        <w:rPr>
          <w:rFonts w:hint="default"/>
          <w:highlight w:val="none"/>
          <w:lang w:val="en-US" w:eastAsia="zh-CN"/>
        </w:rPr>
      </w:pPr>
      <w:r>
        <w:rPr>
          <w:rFonts w:hint="eastAsia"/>
          <w:highlight w:val="none"/>
          <w:lang w:val="en-US" w:eastAsia="zh-CN"/>
        </w:rPr>
        <w:t>财务费用</w:t>
      </w:r>
    </w:p>
    <w:p w14:paraId="40D52E53">
      <w:pPr>
        <w:bidi w:val="0"/>
        <w:rPr>
          <w:rFonts w:hint="eastAsia"/>
          <w:highlight w:val="none"/>
          <w:lang w:val="en-US" w:eastAsia="zh-CN"/>
        </w:rPr>
      </w:pPr>
      <w:r>
        <w:rPr>
          <w:rFonts w:hint="eastAsia"/>
          <w:highlight w:val="none"/>
          <w:lang w:val="en-US" w:eastAsia="zh-CN"/>
        </w:rPr>
        <w:t>公交企业为保持正常的生产运营活动而发生的融资成本，纳入规制成本，经过第三方成本监审后据实核定。融资行为遵循“企业决策先行，外部审批跟进”的原则，按照《伊州区国资委授权放权清单（2023年版）》（伊区国资函</w:t>
      </w:r>
      <w:r>
        <w:rPr>
          <w:rFonts w:hint="eastAsia" w:ascii="仿宋_GB2312" w:hAnsi="仿宋_GB2312" w:eastAsia="仿宋_GB2312" w:cs="仿宋_GB2312"/>
          <w:highlight w:val="none"/>
          <w:lang w:val="en-US" w:eastAsia="zh-CN"/>
        </w:rPr>
        <w:t>〔</w:t>
      </w:r>
      <w:r>
        <w:rPr>
          <w:rFonts w:hint="eastAsia"/>
          <w:highlight w:val="none"/>
          <w:lang w:val="en-US" w:eastAsia="zh-CN"/>
        </w:rPr>
        <w:t>2023</w:t>
      </w:r>
      <w:r>
        <w:rPr>
          <w:rFonts w:hint="eastAsia" w:ascii="仿宋_GB2312" w:hAnsi="仿宋_GB2312" w:eastAsia="仿宋_GB2312" w:cs="仿宋_GB2312"/>
          <w:highlight w:val="none"/>
          <w:lang w:val="en-US" w:eastAsia="zh-CN"/>
        </w:rPr>
        <w:t>〕</w:t>
      </w:r>
      <w:r>
        <w:rPr>
          <w:rFonts w:hint="eastAsia"/>
          <w:highlight w:val="none"/>
          <w:lang w:val="en-US" w:eastAsia="zh-CN"/>
        </w:rPr>
        <w:t>25号）相关规定执行。</w:t>
      </w:r>
    </w:p>
    <w:p w14:paraId="546D91A0">
      <w:pPr>
        <w:pStyle w:val="8"/>
        <w:numPr>
          <w:ilvl w:val="0"/>
          <w:numId w:val="5"/>
        </w:numPr>
        <w:bidi w:val="0"/>
        <w:rPr>
          <w:rFonts w:hint="default"/>
          <w:highlight w:val="none"/>
          <w:lang w:val="en-US" w:eastAsia="zh-CN"/>
        </w:rPr>
      </w:pPr>
      <w:bookmarkStart w:id="1" w:name="_GoBack"/>
      <w:r>
        <w:rPr>
          <w:rFonts w:hint="eastAsia"/>
          <w:highlight w:val="none"/>
          <w:lang w:val="en-US" w:eastAsia="zh-CN"/>
        </w:rPr>
        <w:t>税金及附加</w:t>
      </w:r>
      <w:bookmarkEnd w:id="1"/>
    </w:p>
    <w:p w14:paraId="35E60793">
      <w:pPr>
        <w:rPr>
          <w:rFonts w:hint="default"/>
          <w:highlight w:val="none"/>
          <w:lang w:val="en-US" w:eastAsia="zh-CN"/>
        </w:rPr>
      </w:pPr>
      <w:r>
        <w:rPr>
          <w:rFonts w:hint="default"/>
          <w:highlight w:val="none"/>
          <w:lang w:val="en-US" w:eastAsia="zh-CN"/>
        </w:rPr>
        <w:t>税金及附加按税法规定计提和缴纳，经过第三方成本监审后据实核定。</w:t>
      </w:r>
    </w:p>
    <w:p w14:paraId="28D7CC01">
      <w:pPr>
        <w:pStyle w:val="7"/>
        <w:numPr>
          <w:ilvl w:val="0"/>
          <w:numId w:val="6"/>
        </w:numPr>
        <w:bidi w:val="0"/>
        <w:ind w:left="0" w:leftChars="0" w:firstLine="0" w:firstLineChars="0"/>
        <w:rPr>
          <w:rFonts w:hint="eastAsia"/>
          <w:highlight w:val="none"/>
          <w:lang w:val="en-US" w:eastAsia="zh-CN"/>
        </w:rPr>
      </w:pPr>
      <w:r>
        <w:rPr>
          <w:rFonts w:hint="eastAsia"/>
          <w:highlight w:val="none"/>
          <w:lang w:val="en-US" w:eastAsia="zh-CN"/>
        </w:rPr>
        <w:t>附则</w:t>
      </w:r>
    </w:p>
    <w:p w14:paraId="6A94E107">
      <w:pPr>
        <w:pStyle w:val="18"/>
        <w:bidi w:val="0"/>
        <w:rPr>
          <w:rFonts w:hint="eastAsia"/>
          <w:highlight w:val="none"/>
        </w:rPr>
      </w:pPr>
      <w:r>
        <w:rPr>
          <w:rFonts w:hint="default"/>
          <w:highlight w:val="none"/>
          <w:lang w:val="en-US" w:eastAsia="zh-CN"/>
        </w:rPr>
        <w:t>公交企业</w:t>
      </w:r>
      <w:r>
        <w:rPr>
          <w:rFonts w:hint="eastAsia"/>
          <w:highlight w:val="none"/>
        </w:rPr>
        <w:t>于每年</w:t>
      </w:r>
      <w:r>
        <w:rPr>
          <w:rFonts w:hint="eastAsia"/>
          <w:highlight w:val="none"/>
          <w:lang w:val="en-US" w:eastAsia="zh-CN"/>
        </w:rPr>
        <w:t>2</w:t>
      </w:r>
      <w:r>
        <w:rPr>
          <w:rFonts w:hint="eastAsia"/>
          <w:highlight w:val="none"/>
        </w:rPr>
        <w:t>月底前按照本办法</w:t>
      </w:r>
      <w:r>
        <w:rPr>
          <w:rFonts w:hint="eastAsia"/>
          <w:highlight w:val="none"/>
          <w:lang w:val="en-US" w:eastAsia="zh-CN"/>
        </w:rPr>
        <w:t>规定的运营成本构成及核定方法，提供企业上年度财务综合报表、运营生产报表、人员、车辆台账等资料。</w:t>
      </w:r>
    </w:p>
    <w:p w14:paraId="7B8BBAFB">
      <w:pPr>
        <w:pStyle w:val="18"/>
        <w:bidi w:val="0"/>
        <w:rPr>
          <w:rFonts w:hint="default"/>
          <w:highlight w:val="none"/>
          <w:lang w:val="en-US" w:eastAsia="zh-CN"/>
        </w:rPr>
      </w:pPr>
      <w:r>
        <w:rPr>
          <w:rFonts w:hint="eastAsia"/>
          <w:highlight w:val="none"/>
          <w:lang w:val="en-US" w:eastAsia="zh-CN"/>
        </w:rPr>
        <w:t>区交通运输局选聘专业审计机构，于每年3月底前按照《伊州区城市公共交通企业成本规制实施办法》对公交企业运营成本及收入进行审计与核定，</w:t>
      </w:r>
      <w:r>
        <w:rPr>
          <w:rFonts w:hint="default"/>
          <w:highlight w:val="none"/>
          <w:lang w:val="en-US" w:eastAsia="zh-CN"/>
        </w:rPr>
        <w:t>形成运营成本</w:t>
      </w:r>
      <w:r>
        <w:rPr>
          <w:rFonts w:hint="eastAsia"/>
          <w:highlight w:val="none"/>
          <w:lang w:val="en-US" w:eastAsia="zh-CN"/>
        </w:rPr>
        <w:t>及收入核定</w:t>
      </w:r>
      <w:r>
        <w:rPr>
          <w:rFonts w:hint="default"/>
          <w:highlight w:val="none"/>
          <w:lang w:val="en-US" w:eastAsia="zh-CN"/>
        </w:rPr>
        <w:t>报告</w:t>
      </w:r>
      <w:r>
        <w:rPr>
          <w:rFonts w:hint="eastAsia"/>
          <w:highlight w:val="none"/>
          <w:lang w:val="en-US" w:eastAsia="zh-CN"/>
        </w:rPr>
        <w:t>。区财政局按照</w:t>
      </w:r>
      <w:r>
        <w:rPr>
          <w:rFonts w:hint="default"/>
          <w:highlight w:val="none"/>
          <w:lang w:val="en-US" w:eastAsia="zh-CN"/>
        </w:rPr>
        <w:t>《伊州区城市公共交通企业财政补贴补偿办法</w:t>
      </w:r>
      <w:r>
        <w:rPr>
          <w:rFonts w:hint="eastAsia"/>
          <w:highlight w:val="none"/>
          <w:lang w:val="en-US" w:eastAsia="zh-CN"/>
        </w:rPr>
        <w:t>》规定的工作流程开展资金清算工作。</w:t>
      </w:r>
    </w:p>
    <w:p w14:paraId="2C6917FD">
      <w:pPr>
        <w:pStyle w:val="18"/>
        <w:bidi w:val="0"/>
        <w:rPr>
          <w:rFonts w:hint="default"/>
          <w:highlight w:val="none"/>
          <w:lang w:val="en-US" w:eastAsia="zh-CN"/>
        </w:rPr>
      </w:pPr>
      <w:r>
        <w:rPr>
          <w:rFonts w:hint="eastAsia"/>
          <w:highlight w:val="none"/>
          <w:lang w:val="en-US" w:eastAsia="zh-CN"/>
        </w:rPr>
        <w:t>考虑公交运营服务实际、生产资料市场价格变化及企业管理水平等因素，成本规制标准原则上每3年调整一次。如</w:t>
      </w:r>
      <w:r>
        <w:rPr>
          <w:rFonts w:hint="default"/>
          <w:highlight w:val="none"/>
          <w:lang w:val="en-US" w:eastAsia="zh-CN"/>
        </w:rPr>
        <w:t>遇国家政策、生产资料市场价格等发生重大变化导致成本增加的</w:t>
      </w:r>
      <w:r>
        <w:rPr>
          <w:rFonts w:hint="eastAsia"/>
          <w:highlight w:val="none"/>
          <w:lang w:val="en-US" w:eastAsia="zh-CN"/>
        </w:rPr>
        <w:t>，</w:t>
      </w:r>
      <w:r>
        <w:rPr>
          <w:rFonts w:hint="default"/>
          <w:highlight w:val="none"/>
          <w:lang w:val="en-US" w:eastAsia="zh-CN"/>
        </w:rPr>
        <w:t>公交企业</w:t>
      </w:r>
      <w:r>
        <w:rPr>
          <w:rFonts w:hint="eastAsia"/>
          <w:highlight w:val="none"/>
          <w:lang w:val="en-US" w:eastAsia="zh-CN"/>
        </w:rPr>
        <w:t>应及时</w:t>
      </w:r>
      <w:r>
        <w:rPr>
          <w:rFonts w:hint="default"/>
          <w:highlight w:val="none"/>
          <w:lang w:val="en-US" w:eastAsia="zh-CN"/>
        </w:rPr>
        <w:t>向</w:t>
      </w:r>
      <w:r>
        <w:rPr>
          <w:rFonts w:hint="eastAsia"/>
          <w:highlight w:val="none"/>
          <w:lang w:val="en-US" w:eastAsia="zh-CN"/>
        </w:rPr>
        <w:t>区交通运输局</w:t>
      </w:r>
      <w:r>
        <w:rPr>
          <w:rFonts w:hint="default"/>
          <w:highlight w:val="none"/>
          <w:lang w:val="en-US" w:eastAsia="zh-CN"/>
        </w:rPr>
        <w:t>申请</w:t>
      </w:r>
      <w:r>
        <w:rPr>
          <w:rFonts w:hint="eastAsia"/>
          <w:highlight w:val="none"/>
          <w:lang w:val="en-US" w:eastAsia="zh-CN"/>
        </w:rPr>
        <w:t>，在年底审计核定对成本规制标准值进行动态调整</w:t>
      </w:r>
      <w:r>
        <w:rPr>
          <w:rFonts w:hint="default"/>
          <w:highlight w:val="none"/>
          <w:lang w:val="en-US" w:eastAsia="zh-CN"/>
        </w:rPr>
        <w:t>。</w:t>
      </w:r>
    </w:p>
    <w:p w14:paraId="2CC653FA">
      <w:pPr>
        <w:pStyle w:val="18"/>
        <w:bidi w:val="0"/>
        <w:rPr>
          <w:rFonts w:hint="default"/>
          <w:highlight w:val="none"/>
          <w:lang w:val="en-US" w:eastAsia="zh-CN"/>
        </w:rPr>
      </w:pPr>
      <w:r>
        <w:rPr>
          <w:rFonts w:hint="eastAsia"/>
          <w:highlight w:val="none"/>
          <w:lang w:val="en-US" w:eastAsia="zh-CN"/>
        </w:rPr>
        <w:t>公交企业必须提供真实、准确、完整和合法的会计信息，健全完善企业成本核算制度，规范公交运营、车辆购置、维修保养、能源消耗等成本核算，将各项收入、成本支出独立建账。</w:t>
      </w:r>
    </w:p>
    <w:p w14:paraId="6C3AE913">
      <w:pPr>
        <w:pStyle w:val="18"/>
        <w:bidi w:val="0"/>
        <w:rPr>
          <w:rFonts w:hint="default"/>
          <w:highlight w:val="none"/>
          <w:lang w:val="en-US" w:eastAsia="zh-CN"/>
        </w:rPr>
      </w:pPr>
      <w:r>
        <w:rPr>
          <w:rFonts w:hint="eastAsia"/>
          <w:highlight w:val="none"/>
          <w:lang w:val="en-US" w:eastAsia="zh-CN"/>
        </w:rPr>
        <w:t>本</w:t>
      </w:r>
      <w:r>
        <w:rPr>
          <w:rFonts w:hint="default"/>
          <w:highlight w:val="none"/>
          <w:lang w:val="en-US" w:eastAsia="zh-CN"/>
        </w:rPr>
        <w:t>办法由</w:t>
      </w:r>
      <w:r>
        <w:rPr>
          <w:rFonts w:hint="eastAsia"/>
          <w:highlight w:val="none"/>
          <w:lang w:val="en-US" w:eastAsia="zh-CN"/>
        </w:rPr>
        <w:t>伊州区交通运输局负责解释。</w:t>
      </w:r>
    </w:p>
    <w:p w14:paraId="4955BA4E">
      <w:pPr>
        <w:pStyle w:val="18"/>
        <w:bidi w:val="0"/>
        <w:rPr>
          <w:rFonts w:hint="eastAsia"/>
          <w:highlight w:val="none"/>
          <w:lang w:val="en-US" w:eastAsia="zh-CN"/>
        </w:rPr>
      </w:pPr>
      <w:r>
        <w:rPr>
          <w:rFonts w:hint="eastAsia"/>
          <w:highlight w:val="none"/>
          <w:lang w:val="en-US" w:eastAsia="zh-CN"/>
        </w:rPr>
        <w:t>本办法自发布之日起施行。</w:t>
      </w:r>
    </w:p>
    <w:p w14:paraId="44E2F3A4">
      <w:pPr>
        <w:bidi w:val="0"/>
        <w:rPr>
          <w:rFonts w:hint="default"/>
          <w:highlight w:val="none"/>
          <w:lang w:val="en-US" w:eastAsia="zh-CN"/>
        </w:rPr>
      </w:pPr>
    </w:p>
    <w:p w14:paraId="71E59303">
      <w:pPr>
        <w:bidi w:val="0"/>
        <w:rPr>
          <w:rFonts w:hint="eastAsia"/>
          <w:highlight w:val="none"/>
          <w:lang w:val="en-US" w:eastAsia="zh-CN"/>
        </w:rPr>
      </w:pPr>
      <w:r>
        <w:rPr>
          <w:rFonts w:hint="eastAsia"/>
          <w:highlight w:val="none"/>
          <w:lang w:val="en-US" w:eastAsia="zh-CN"/>
        </w:rPr>
        <w:t>附件：1.各车型能耗标准值；</w:t>
      </w:r>
    </w:p>
    <w:p w14:paraId="2B505CF6">
      <w:pPr>
        <w:pStyle w:val="2"/>
        <w:rPr>
          <w:rFonts w:hint="default"/>
          <w:highlight w:val="none"/>
          <w:lang w:val="en-US" w:eastAsia="zh-CN"/>
        </w:rPr>
      </w:pPr>
      <w:r>
        <w:rPr>
          <w:rFonts w:hint="eastAsia"/>
          <w:highlight w:val="none"/>
          <w:lang w:val="en-US" w:eastAsia="zh-CN"/>
        </w:rPr>
        <w:t xml:space="preserve">        2.维修费标准值。</w:t>
      </w:r>
    </w:p>
    <w:p w14:paraId="18F0F84F">
      <w:pPr>
        <w:rPr>
          <w:rFonts w:hint="default"/>
          <w:highlight w:val="none"/>
          <w:lang w:val="en-US" w:eastAsia="zh-CN"/>
        </w:rPr>
      </w:pPr>
      <w:r>
        <w:rPr>
          <w:rFonts w:hint="default"/>
          <w:highlight w:val="none"/>
          <w:lang w:val="en-US" w:eastAsia="zh-CN"/>
        </w:rPr>
        <w:br w:type="page"/>
      </w:r>
    </w:p>
    <w:p w14:paraId="0D8C7678">
      <w:pPr>
        <w:pStyle w:val="7"/>
        <w:bidi w:val="0"/>
        <w:jc w:val="both"/>
        <w:rPr>
          <w:rFonts w:hint="default"/>
          <w:highlight w:val="none"/>
          <w:lang w:val="en-US" w:eastAsia="zh-CN"/>
        </w:rPr>
      </w:pPr>
      <w:r>
        <w:rPr>
          <w:rFonts w:hint="eastAsia"/>
          <w:highlight w:val="none"/>
          <w:lang w:val="en-US" w:eastAsia="zh-CN"/>
        </w:rPr>
        <w:t>附件1：各车型能耗标准值</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1290"/>
        <w:gridCol w:w="860"/>
        <w:gridCol w:w="2490"/>
        <w:gridCol w:w="860"/>
        <w:gridCol w:w="1020"/>
        <w:gridCol w:w="1787"/>
      </w:tblGrid>
      <w:tr w14:paraId="57FE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16" w:type="pct"/>
            <w:tcBorders>
              <w:top w:val="single" w:color="auto" w:sz="4" w:space="0"/>
              <w:left w:val="single" w:color="000000" w:sz="4" w:space="0"/>
              <w:bottom w:val="single" w:color="000000" w:sz="4" w:space="0"/>
              <w:right w:val="single" w:color="000000" w:sz="4" w:space="0"/>
            </w:tcBorders>
            <w:shd w:val="clear" w:color="auto" w:fill="auto"/>
            <w:vAlign w:val="center"/>
          </w:tcPr>
          <w:p w14:paraId="48EBA429">
            <w:pPr>
              <w:pStyle w:val="19"/>
              <w:bidi w:val="0"/>
              <w:rPr>
                <w:rFonts w:hint="eastAsia"/>
                <w:highlight w:val="none"/>
              </w:rPr>
            </w:pPr>
            <w:r>
              <w:rPr>
                <w:rFonts w:hint="eastAsia"/>
                <w:highlight w:val="none"/>
                <w:lang w:val="en-US" w:eastAsia="zh-CN"/>
              </w:rPr>
              <w:t>序号</w:t>
            </w:r>
          </w:p>
        </w:tc>
        <w:tc>
          <w:tcPr>
            <w:tcW w:w="711" w:type="pct"/>
            <w:tcBorders>
              <w:top w:val="single" w:color="auto" w:sz="4" w:space="0"/>
              <w:left w:val="single" w:color="000000" w:sz="4" w:space="0"/>
              <w:bottom w:val="single" w:color="000000" w:sz="4" w:space="0"/>
              <w:right w:val="single" w:color="000000" w:sz="4" w:space="0"/>
            </w:tcBorders>
            <w:shd w:val="clear" w:color="auto" w:fill="auto"/>
            <w:vAlign w:val="center"/>
          </w:tcPr>
          <w:p w14:paraId="39143FD1">
            <w:pPr>
              <w:pStyle w:val="19"/>
              <w:bidi w:val="0"/>
              <w:rPr>
                <w:rFonts w:hint="eastAsia"/>
                <w:highlight w:val="none"/>
              </w:rPr>
            </w:pPr>
            <w:r>
              <w:rPr>
                <w:rFonts w:hint="eastAsia"/>
                <w:highlight w:val="none"/>
                <w:lang w:val="en-US" w:eastAsia="zh-CN"/>
              </w:rPr>
              <w:t>动力类型</w:t>
            </w:r>
          </w:p>
        </w:tc>
        <w:tc>
          <w:tcPr>
            <w:tcW w:w="474" w:type="pct"/>
            <w:tcBorders>
              <w:top w:val="single" w:color="auto" w:sz="4" w:space="0"/>
              <w:left w:val="single" w:color="000000" w:sz="4" w:space="0"/>
              <w:bottom w:val="single" w:color="000000" w:sz="4" w:space="0"/>
              <w:right w:val="single" w:color="000000" w:sz="4" w:space="0"/>
            </w:tcBorders>
            <w:shd w:val="clear" w:color="auto" w:fill="auto"/>
            <w:vAlign w:val="center"/>
          </w:tcPr>
          <w:p w14:paraId="53F86ACC">
            <w:pPr>
              <w:pStyle w:val="19"/>
              <w:bidi w:val="0"/>
              <w:rPr>
                <w:rFonts w:hint="eastAsia"/>
                <w:highlight w:val="none"/>
              </w:rPr>
            </w:pPr>
            <w:r>
              <w:rPr>
                <w:rFonts w:hint="eastAsia"/>
                <w:highlight w:val="none"/>
                <w:lang w:val="en-US" w:eastAsia="zh-CN"/>
              </w:rPr>
              <w:t>品牌</w:t>
            </w:r>
          </w:p>
        </w:tc>
        <w:tc>
          <w:tcPr>
            <w:tcW w:w="1374" w:type="pct"/>
            <w:tcBorders>
              <w:top w:val="single" w:color="auto" w:sz="4" w:space="0"/>
              <w:left w:val="single" w:color="000000" w:sz="4" w:space="0"/>
              <w:bottom w:val="single" w:color="000000" w:sz="4" w:space="0"/>
              <w:right w:val="single" w:color="000000" w:sz="4" w:space="0"/>
            </w:tcBorders>
            <w:shd w:val="clear" w:color="auto" w:fill="auto"/>
            <w:vAlign w:val="center"/>
          </w:tcPr>
          <w:p w14:paraId="074A4553">
            <w:pPr>
              <w:pStyle w:val="19"/>
              <w:bidi w:val="0"/>
              <w:rPr>
                <w:rFonts w:hint="eastAsia"/>
                <w:highlight w:val="none"/>
              </w:rPr>
            </w:pPr>
            <w:r>
              <w:rPr>
                <w:rFonts w:hint="eastAsia"/>
                <w:highlight w:val="none"/>
                <w:lang w:val="en-US" w:eastAsia="zh-CN"/>
              </w:rPr>
              <w:t>车辆型号</w:t>
            </w:r>
          </w:p>
        </w:tc>
        <w:tc>
          <w:tcPr>
            <w:tcW w:w="474" w:type="pct"/>
            <w:tcBorders>
              <w:top w:val="single" w:color="auto" w:sz="4" w:space="0"/>
              <w:left w:val="single" w:color="000000" w:sz="4" w:space="0"/>
              <w:bottom w:val="single" w:color="000000" w:sz="4" w:space="0"/>
              <w:right w:val="single" w:color="000000" w:sz="4" w:space="0"/>
            </w:tcBorders>
            <w:shd w:val="clear" w:color="auto" w:fill="auto"/>
            <w:vAlign w:val="center"/>
          </w:tcPr>
          <w:p w14:paraId="1422C1F3">
            <w:pPr>
              <w:pStyle w:val="19"/>
              <w:bidi w:val="0"/>
              <w:rPr>
                <w:rFonts w:hint="eastAsia"/>
                <w:highlight w:val="none"/>
                <w:lang w:val="en-US" w:eastAsia="zh-CN"/>
              </w:rPr>
            </w:pPr>
            <w:r>
              <w:rPr>
                <w:rFonts w:hint="eastAsia"/>
                <w:highlight w:val="none"/>
                <w:lang w:val="en-US" w:eastAsia="zh-CN"/>
              </w:rPr>
              <w:t>车龄</w:t>
            </w:r>
          </w:p>
          <w:p w14:paraId="380D3C62">
            <w:pPr>
              <w:pStyle w:val="19"/>
              <w:bidi w:val="0"/>
              <w:rPr>
                <w:rFonts w:hint="eastAsia"/>
                <w:highlight w:val="none"/>
                <w:lang w:val="en-US" w:eastAsia="zh-CN"/>
              </w:rPr>
            </w:pPr>
            <w:r>
              <w:rPr>
                <w:rFonts w:hint="eastAsia"/>
                <w:highlight w:val="none"/>
                <w:lang w:val="en-US" w:eastAsia="zh-CN"/>
              </w:rPr>
              <w:t>（年）</w:t>
            </w:r>
          </w:p>
        </w:tc>
        <w:tc>
          <w:tcPr>
            <w:tcW w:w="562" w:type="pct"/>
            <w:tcBorders>
              <w:top w:val="single" w:color="auto" w:sz="4" w:space="0"/>
              <w:left w:val="single" w:color="000000" w:sz="4" w:space="0"/>
              <w:bottom w:val="single" w:color="000000" w:sz="4" w:space="0"/>
              <w:right w:val="single" w:color="000000" w:sz="4" w:space="0"/>
            </w:tcBorders>
            <w:shd w:val="clear" w:color="auto" w:fill="auto"/>
            <w:vAlign w:val="center"/>
          </w:tcPr>
          <w:p w14:paraId="426FE6EF">
            <w:pPr>
              <w:pStyle w:val="19"/>
              <w:bidi w:val="0"/>
              <w:rPr>
                <w:rFonts w:hint="eastAsia"/>
                <w:highlight w:val="none"/>
                <w:lang w:val="en-US" w:eastAsia="zh-CN"/>
              </w:rPr>
            </w:pPr>
            <w:r>
              <w:rPr>
                <w:rFonts w:hint="eastAsia"/>
                <w:highlight w:val="none"/>
                <w:lang w:val="en-US" w:eastAsia="zh-CN"/>
              </w:rPr>
              <w:t>车长</w:t>
            </w:r>
          </w:p>
          <w:p w14:paraId="627CC317">
            <w:pPr>
              <w:pStyle w:val="19"/>
              <w:bidi w:val="0"/>
              <w:rPr>
                <w:rFonts w:hint="eastAsia"/>
                <w:highlight w:val="none"/>
                <w:lang w:val="en-US" w:eastAsia="zh-CN"/>
              </w:rPr>
            </w:pPr>
            <w:r>
              <w:rPr>
                <w:rFonts w:hint="eastAsia"/>
                <w:highlight w:val="none"/>
                <w:lang w:val="en-US" w:eastAsia="zh-CN"/>
              </w:rPr>
              <w:t>（毫米）</w:t>
            </w:r>
          </w:p>
        </w:tc>
        <w:tc>
          <w:tcPr>
            <w:tcW w:w="986" w:type="pct"/>
            <w:tcBorders>
              <w:top w:val="single" w:color="auto" w:sz="4" w:space="0"/>
              <w:left w:val="single" w:color="000000" w:sz="4" w:space="0"/>
              <w:bottom w:val="single" w:color="000000" w:sz="4" w:space="0"/>
              <w:right w:val="single" w:color="000000" w:sz="4" w:space="0"/>
            </w:tcBorders>
            <w:shd w:val="clear" w:color="auto" w:fill="auto"/>
            <w:vAlign w:val="center"/>
          </w:tcPr>
          <w:p w14:paraId="2250DEE7">
            <w:pPr>
              <w:pStyle w:val="19"/>
              <w:bidi w:val="0"/>
              <w:rPr>
                <w:rFonts w:hint="eastAsia"/>
                <w:highlight w:val="none"/>
                <w:lang w:val="en-US" w:eastAsia="zh-CN"/>
              </w:rPr>
            </w:pPr>
            <w:r>
              <w:rPr>
                <w:rFonts w:hint="eastAsia"/>
                <w:highlight w:val="none"/>
                <w:lang w:val="en-US" w:eastAsia="zh-CN"/>
              </w:rPr>
              <w:t>能耗标准值</w:t>
            </w:r>
          </w:p>
          <w:p w14:paraId="0A80D176">
            <w:pPr>
              <w:pStyle w:val="19"/>
              <w:bidi w:val="0"/>
              <w:rPr>
                <w:rFonts w:hint="eastAsia"/>
                <w:highlight w:val="none"/>
                <w:lang w:val="en-US" w:eastAsia="zh-CN"/>
              </w:rPr>
            </w:pPr>
            <w:r>
              <w:rPr>
                <w:rFonts w:hint="eastAsia"/>
                <w:highlight w:val="none"/>
                <w:lang w:val="en-US" w:eastAsia="zh-CN"/>
              </w:rPr>
              <w:t>（立方米/百公里或千瓦时/百公里）</w:t>
            </w:r>
          </w:p>
        </w:tc>
      </w:tr>
      <w:tr w14:paraId="2CBB0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9E62">
            <w:pPr>
              <w:pStyle w:val="19"/>
              <w:bidi w:val="0"/>
              <w:rPr>
                <w:rFonts w:hint="eastAsia"/>
                <w:highlight w:val="none"/>
              </w:rPr>
            </w:pPr>
            <w:r>
              <w:rPr>
                <w:rFonts w:hint="eastAsia"/>
                <w:highlight w:val="none"/>
                <w:lang w:val="en-US" w:eastAsia="zh-CN"/>
              </w:rPr>
              <w:t>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0703">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9EF9">
            <w:pPr>
              <w:pStyle w:val="19"/>
              <w:bidi w:val="0"/>
              <w:rPr>
                <w:rFonts w:hint="eastAsia"/>
                <w:highlight w:val="none"/>
              </w:rPr>
            </w:pPr>
            <w:r>
              <w:rPr>
                <w:rFonts w:hint="eastAsia"/>
                <w:highlight w:val="none"/>
                <w:lang w:val="en-US" w:eastAsia="zh-CN"/>
              </w:rPr>
              <w:t>中通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04D5">
            <w:pPr>
              <w:pStyle w:val="19"/>
              <w:bidi w:val="0"/>
              <w:rPr>
                <w:rFonts w:hint="eastAsia"/>
                <w:highlight w:val="none"/>
              </w:rPr>
            </w:pPr>
            <w:r>
              <w:rPr>
                <w:rFonts w:hint="eastAsia"/>
                <w:highlight w:val="none"/>
                <w:lang w:val="en-US" w:eastAsia="zh-CN"/>
              </w:rPr>
              <w:t>LCK6105HGC</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2815BCE8">
            <w:pPr>
              <w:pStyle w:val="19"/>
              <w:bidi w:val="0"/>
              <w:rPr>
                <w:rFonts w:hint="eastAsia"/>
                <w:highlight w:val="none"/>
              </w:rPr>
            </w:pPr>
            <w:r>
              <w:rPr>
                <w:rFonts w:hint="eastAsia"/>
                <w:highlight w:val="none"/>
                <w:lang w:val="en-US" w:eastAsia="zh-CN"/>
              </w:rPr>
              <w:t>14</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0420207B">
            <w:pPr>
              <w:pStyle w:val="19"/>
              <w:bidi w:val="0"/>
              <w:rPr>
                <w:rFonts w:hint="eastAsia"/>
                <w:highlight w:val="none"/>
              </w:rPr>
            </w:pPr>
            <w:r>
              <w:rPr>
                <w:rFonts w:hint="eastAsia"/>
                <w:highlight w:val="none"/>
                <w:lang w:val="en-US" w:eastAsia="zh-CN"/>
              </w:rPr>
              <w:t>10500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E16C">
            <w:pPr>
              <w:pStyle w:val="19"/>
              <w:bidi w:val="0"/>
              <w:rPr>
                <w:rFonts w:hint="eastAsia"/>
                <w:highlight w:val="none"/>
              </w:rPr>
            </w:pPr>
            <w:r>
              <w:rPr>
                <w:rFonts w:hint="eastAsia"/>
                <w:highlight w:val="none"/>
                <w:lang w:val="en-US" w:eastAsia="zh-CN"/>
              </w:rPr>
              <w:t xml:space="preserve">38.67 </w:t>
            </w:r>
          </w:p>
        </w:tc>
      </w:tr>
      <w:tr w14:paraId="0EBA7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F3AF">
            <w:pPr>
              <w:pStyle w:val="19"/>
              <w:bidi w:val="0"/>
              <w:rPr>
                <w:rFonts w:hint="eastAsia"/>
                <w:highlight w:val="none"/>
              </w:rPr>
            </w:pPr>
            <w:r>
              <w:rPr>
                <w:rFonts w:hint="eastAsia"/>
                <w:highlight w:val="none"/>
                <w:lang w:val="en-US" w:eastAsia="zh-CN"/>
              </w:rPr>
              <w:t>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E14E">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57E1">
            <w:pPr>
              <w:pStyle w:val="19"/>
              <w:bidi w:val="0"/>
              <w:rPr>
                <w:rFonts w:hint="eastAsia"/>
                <w:highlight w:val="none"/>
              </w:rPr>
            </w:pPr>
            <w:r>
              <w:rPr>
                <w:rFonts w:hint="eastAsia"/>
                <w:highlight w:val="none"/>
                <w:lang w:val="en-US" w:eastAsia="zh-CN"/>
              </w:rPr>
              <w:t>中通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1878">
            <w:pPr>
              <w:pStyle w:val="19"/>
              <w:bidi w:val="0"/>
              <w:rPr>
                <w:rFonts w:hint="eastAsia"/>
                <w:highlight w:val="none"/>
              </w:rPr>
            </w:pPr>
            <w:r>
              <w:rPr>
                <w:rFonts w:hint="eastAsia"/>
                <w:highlight w:val="none"/>
                <w:lang w:val="en-US" w:eastAsia="zh-CN"/>
              </w:rPr>
              <w:t>LCK6606N5GH</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404C9C52">
            <w:pPr>
              <w:pStyle w:val="19"/>
              <w:bidi w:val="0"/>
              <w:rPr>
                <w:rFonts w:hint="eastAsia"/>
                <w:highlight w:val="none"/>
              </w:rPr>
            </w:pPr>
            <w:r>
              <w:rPr>
                <w:rFonts w:hint="eastAsia"/>
                <w:highlight w:val="none"/>
                <w:lang w:val="en-US" w:eastAsia="zh-CN"/>
              </w:rPr>
              <w:t>12</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3FD0BE58">
            <w:pPr>
              <w:pStyle w:val="19"/>
              <w:bidi w:val="0"/>
              <w:rPr>
                <w:rFonts w:hint="eastAsia"/>
                <w:highlight w:val="none"/>
              </w:rPr>
            </w:pPr>
            <w:r>
              <w:rPr>
                <w:rFonts w:hint="eastAsia"/>
                <w:highlight w:val="none"/>
                <w:lang w:val="en-US" w:eastAsia="zh-CN"/>
              </w:rPr>
              <w:t>5998</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B660">
            <w:pPr>
              <w:pStyle w:val="19"/>
              <w:bidi w:val="0"/>
              <w:rPr>
                <w:rFonts w:hint="eastAsia"/>
                <w:highlight w:val="none"/>
              </w:rPr>
            </w:pPr>
            <w:r>
              <w:rPr>
                <w:rFonts w:hint="eastAsia"/>
                <w:highlight w:val="none"/>
                <w:lang w:val="en-US" w:eastAsia="zh-CN"/>
              </w:rPr>
              <w:t xml:space="preserve">31.91 </w:t>
            </w:r>
          </w:p>
        </w:tc>
      </w:tr>
      <w:tr w14:paraId="4453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05A7">
            <w:pPr>
              <w:pStyle w:val="19"/>
              <w:bidi w:val="0"/>
              <w:rPr>
                <w:rFonts w:hint="eastAsia"/>
                <w:highlight w:val="none"/>
              </w:rPr>
            </w:pPr>
            <w:r>
              <w:rPr>
                <w:rFonts w:hint="eastAsia"/>
                <w:highlight w:val="none"/>
                <w:lang w:val="en-US" w:eastAsia="zh-CN"/>
              </w:rPr>
              <w:t>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65F5">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18EB">
            <w:pPr>
              <w:pStyle w:val="19"/>
              <w:bidi w:val="0"/>
              <w:rPr>
                <w:rFonts w:hint="eastAsia"/>
                <w:highlight w:val="none"/>
              </w:rPr>
            </w:pPr>
            <w:r>
              <w:rPr>
                <w:rFonts w:hint="eastAsia"/>
                <w:highlight w:val="none"/>
                <w:lang w:val="en-US" w:eastAsia="zh-CN"/>
              </w:rPr>
              <w:t>中通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A8FB">
            <w:pPr>
              <w:pStyle w:val="19"/>
              <w:bidi w:val="0"/>
              <w:rPr>
                <w:rFonts w:hint="eastAsia"/>
                <w:highlight w:val="none"/>
              </w:rPr>
            </w:pPr>
            <w:r>
              <w:rPr>
                <w:rFonts w:hint="eastAsia"/>
                <w:highlight w:val="none"/>
                <w:lang w:val="en-US" w:eastAsia="zh-CN"/>
              </w:rPr>
              <w:t>LCK6859DGC</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3D74A26A">
            <w:pPr>
              <w:pStyle w:val="19"/>
              <w:bidi w:val="0"/>
              <w:rPr>
                <w:rFonts w:hint="eastAsia"/>
                <w:highlight w:val="none"/>
              </w:rPr>
            </w:pPr>
            <w:r>
              <w:rPr>
                <w:rFonts w:hint="eastAsia"/>
                <w:highlight w:val="none"/>
                <w:lang w:val="en-US" w:eastAsia="zh-CN"/>
              </w:rPr>
              <w:t>12</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6F41EB34">
            <w:pPr>
              <w:pStyle w:val="19"/>
              <w:bidi w:val="0"/>
              <w:rPr>
                <w:rFonts w:hint="eastAsia"/>
                <w:highlight w:val="none"/>
              </w:rPr>
            </w:pPr>
            <w:r>
              <w:rPr>
                <w:rFonts w:hint="eastAsia"/>
                <w:highlight w:val="none"/>
                <w:lang w:val="en-US" w:eastAsia="zh-CN"/>
              </w:rPr>
              <w:t>8545</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74F1">
            <w:pPr>
              <w:pStyle w:val="19"/>
              <w:bidi w:val="0"/>
              <w:rPr>
                <w:rFonts w:hint="eastAsia"/>
                <w:highlight w:val="none"/>
              </w:rPr>
            </w:pPr>
            <w:r>
              <w:rPr>
                <w:rFonts w:hint="eastAsia"/>
                <w:highlight w:val="none"/>
                <w:lang w:val="en-US" w:eastAsia="zh-CN"/>
              </w:rPr>
              <w:t xml:space="preserve">24.25 </w:t>
            </w:r>
          </w:p>
        </w:tc>
      </w:tr>
      <w:tr w14:paraId="49392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C31F">
            <w:pPr>
              <w:pStyle w:val="19"/>
              <w:bidi w:val="0"/>
              <w:rPr>
                <w:rFonts w:hint="eastAsia"/>
                <w:highlight w:val="none"/>
              </w:rPr>
            </w:pPr>
            <w:r>
              <w:rPr>
                <w:rFonts w:hint="eastAsia"/>
                <w:highlight w:val="none"/>
                <w:lang w:val="en-US" w:eastAsia="zh-CN"/>
              </w:rPr>
              <w:t>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7DD9">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D6B0">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CC0F">
            <w:pPr>
              <w:pStyle w:val="19"/>
              <w:bidi w:val="0"/>
              <w:rPr>
                <w:rFonts w:hint="eastAsia"/>
                <w:highlight w:val="none"/>
              </w:rPr>
            </w:pPr>
            <w:r>
              <w:rPr>
                <w:rFonts w:hint="eastAsia"/>
                <w:highlight w:val="none"/>
                <w:lang w:val="en-US" w:eastAsia="zh-CN"/>
              </w:rPr>
              <w:t>ZK6100NG1</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034DD2AA">
            <w:pPr>
              <w:pStyle w:val="19"/>
              <w:bidi w:val="0"/>
              <w:rPr>
                <w:rFonts w:hint="eastAsia"/>
                <w:highlight w:val="none"/>
              </w:rPr>
            </w:pPr>
            <w:r>
              <w:rPr>
                <w:rFonts w:hint="eastAsia"/>
                <w:highlight w:val="none"/>
                <w:lang w:val="en-US" w:eastAsia="zh-CN"/>
              </w:rPr>
              <w:t>13</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239CBA22">
            <w:pPr>
              <w:pStyle w:val="19"/>
              <w:bidi w:val="0"/>
              <w:rPr>
                <w:rFonts w:hint="eastAsia"/>
                <w:highlight w:val="none"/>
              </w:rPr>
            </w:pPr>
            <w:r>
              <w:rPr>
                <w:rFonts w:hint="eastAsia"/>
                <w:highlight w:val="none"/>
                <w:lang w:val="en-US" w:eastAsia="zh-CN"/>
              </w:rPr>
              <w:t>10440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E6BE">
            <w:pPr>
              <w:pStyle w:val="19"/>
              <w:bidi w:val="0"/>
              <w:rPr>
                <w:rFonts w:hint="eastAsia"/>
                <w:highlight w:val="none"/>
              </w:rPr>
            </w:pPr>
            <w:r>
              <w:rPr>
                <w:rFonts w:hint="eastAsia"/>
                <w:highlight w:val="none"/>
                <w:lang w:val="en-US" w:eastAsia="zh-CN"/>
              </w:rPr>
              <w:t xml:space="preserve">34.86 </w:t>
            </w:r>
          </w:p>
        </w:tc>
      </w:tr>
      <w:tr w14:paraId="7717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66CC">
            <w:pPr>
              <w:pStyle w:val="19"/>
              <w:bidi w:val="0"/>
              <w:rPr>
                <w:rFonts w:hint="eastAsia"/>
                <w:highlight w:val="none"/>
              </w:rPr>
            </w:pPr>
            <w:r>
              <w:rPr>
                <w:rFonts w:hint="eastAsia"/>
                <w:highlight w:val="none"/>
                <w:lang w:val="en-US" w:eastAsia="zh-CN"/>
              </w:rPr>
              <w:t>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DB86">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9F2B">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4605">
            <w:pPr>
              <w:pStyle w:val="19"/>
              <w:bidi w:val="0"/>
              <w:rPr>
                <w:rFonts w:hint="eastAsia"/>
                <w:highlight w:val="none"/>
              </w:rPr>
            </w:pPr>
            <w:r>
              <w:rPr>
                <w:rFonts w:hint="eastAsia"/>
                <w:highlight w:val="none"/>
                <w:lang w:val="en-US" w:eastAsia="zh-CN"/>
              </w:rPr>
              <w:t>ZK6105HNG1</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09F41130">
            <w:pPr>
              <w:pStyle w:val="19"/>
              <w:bidi w:val="0"/>
              <w:rPr>
                <w:rFonts w:hint="eastAsia"/>
                <w:highlight w:val="none"/>
              </w:rPr>
            </w:pPr>
            <w:r>
              <w:rPr>
                <w:rFonts w:hint="eastAsia"/>
                <w:highlight w:val="none"/>
                <w:lang w:val="en-US" w:eastAsia="zh-CN"/>
              </w:rPr>
              <w:t>12</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325C259B">
            <w:pPr>
              <w:pStyle w:val="19"/>
              <w:bidi w:val="0"/>
              <w:rPr>
                <w:rFonts w:hint="eastAsia"/>
                <w:highlight w:val="none"/>
              </w:rPr>
            </w:pPr>
            <w:r>
              <w:rPr>
                <w:rFonts w:hint="eastAsia"/>
                <w:highlight w:val="none"/>
                <w:lang w:val="en-US" w:eastAsia="zh-CN"/>
              </w:rPr>
              <w:t>10440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C746">
            <w:pPr>
              <w:pStyle w:val="19"/>
              <w:bidi w:val="0"/>
              <w:rPr>
                <w:rFonts w:hint="eastAsia"/>
                <w:highlight w:val="none"/>
              </w:rPr>
            </w:pPr>
            <w:r>
              <w:rPr>
                <w:rFonts w:hint="eastAsia"/>
                <w:highlight w:val="none"/>
                <w:lang w:val="en-US" w:eastAsia="zh-CN"/>
              </w:rPr>
              <w:t xml:space="preserve">44.83 </w:t>
            </w:r>
          </w:p>
        </w:tc>
      </w:tr>
      <w:tr w14:paraId="1ABA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4EA9">
            <w:pPr>
              <w:pStyle w:val="19"/>
              <w:bidi w:val="0"/>
              <w:rPr>
                <w:rFonts w:hint="eastAsia"/>
                <w:highlight w:val="none"/>
              </w:rPr>
            </w:pPr>
            <w:r>
              <w:rPr>
                <w:rFonts w:hint="eastAsia"/>
                <w:highlight w:val="none"/>
                <w:lang w:val="en-US" w:eastAsia="zh-CN"/>
              </w:rPr>
              <w:t>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884E">
            <w:pPr>
              <w:pStyle w:val="19"/>
              <w:bidi w:val="0"/>
              <w:rPr>
                <w:rFonts w:hint="eastAsia"/>
                <w:highlight w:val="none"/>
              </w:rPr>
            </w:pPr>
            <w:r>
              <w:rPr>
                <w:rFonts w:hint="eastAsia"/>
                <w:highlight w:val="none"/>
                <w:lang w:val="en-US" w:eastAsia="zh-CN"/>
              </w:rPr>
              <w:t>天然气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079B">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636D">
            <w:pPr>
              <w:pStyle w:val="19"/>
              <w:bidi w:val="0"/>
              <w:rPr>
                <w:rFonts w:hint="eastAsia"/>
                <w:highlight w:val="none"/>
              </w:rPr>
            </w:pPr>
            <w:r>
              <w:rPr>
                <w:rFonts w:hint="eastAsia"/>
                <w:highlight w:val="none"/>
                <w:lang w:val="en-US" w:eastAsia="zh-CN"/>
              </w:rPr>
              <w:t>ZK6609NG7</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56EB2667">
            <w:pPr>
              <w:pStyle w:val="19"/>
              <w:bidi w:val="0"/>
              <w:rPr>
                <w:rFonts w:hint="eastAsia"/>
                <w:highlight w:val="none"/>
              </w:rPr>
            </w:pPr>
            <w:r>
              <w:rPr>
                <w:rFonts w:hint="eastAsia"/>
                <w:highlight w:val="none"/>
                <w:lang w:val="en-US" w:eastAsia="zh-CN"/>
              </w:rPr>
              <w:t>9</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64BC162A">
            <w:pPr>
              <w:pStyle w:val="19"/>
              <w:bidi w:val="0"/>
              <w:rPr>
                <w:rFonts w:hint="eastAsia"/>
                <w:highlight w:val="none"/>
              </w:rPr>
            </w:pPr>
            <w:r>
              <w:rPr>
                <w:rFonts w:hint="eastAsia"/>
                <w:highlight w:val="none"/>
                <w:lang w:val="en-US" w:eastAsia="zh-CN"/>
              </w:rPr>
              <w:t>5995</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263E">
            <w:pPr>
              <w:pStyle w:val="19"/>
              <w:bidi w:val="0"/>
              <w:rPr>
                <w:rFonts w:hint="eastAsia"/>
                <w:highlight w:val="none"/>
              </w:rPr>
            </w:pPr>
            <w:r>
              <w:rPr>
                <w:rFonts w:hint="eastAsia"/>
                <w:highlight w:val="none"/>
                <w:lang w:val="en-US" w:eastAsia="zh-CN"/>
              </w:rPr>
              <w:t xml:space="preserve">29.06 </w:t>
            </w:r>
          </w:p>
        </w:tc>
      </w:tr>
      <w:tr w14:paraId="7698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0C06">
            <w:pPr>
              <w:pStyle w:val="19"/>
              <w:bidi w:val="0"/>
              <w:rPr>
                <w:rFonts w:hint="eastAsia"/>
                <w:highlight w:val="none"/>
              </w:rPr>
            </w:pPr>
            <w:r>
              <w:rPr>
                <w:rFonts w:hint="eastAsia"/>
                <w:highlight w:val="none"/>
                <w:lang w:val="en-US" w:eastAsia="zh-CN"/>
              </w:rPr>
              <w:t>8</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FC0D">
            <w:pPr>
              <w:pStyle w:val="19"/>
              <w:bidi w:val="0"/>
              <w:rPr>
                <w:rFonts w:hint="eastAsia"/>
                <w:highlight w:val="none"/>
                <w:lang w:val="en-US" w:eastAsia="zh-CN"/>
              </w:rPr>
            </w:pPr>
            <w:r>
              <w:rPr>
                <w:rFonts w:hint="eastAsia"/>
                <w:highlight w:val="none"/>
                <w:lang w:val="en-US" w:eastAsia="zh-CN"/>
              </w:rPr>
              <w:t>混电</w:t>
            </w:r>
          </w:p>
          <w:p w14:paraId="25AF068A">
            <w:pPr>
              <w:pStyle w:val="19"/>
              <w:bidi w:val="0"/>
              <w:rPr>
                <w:rFonts w:hint="eastAsia"/>
                <w:highlight w:val="none"/>
              </w:rPr>
            </w:pPr>
            <w:r>
              <w:rPr>
                <w:rFonts w:hint="eastAsia"/>
                <w:highlight w:val="none"/>
                <w:lang w:val="en-US" w:eastAsia="zh-CN"/>
              </w:rPr>
              <w:t>（燃气）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A407">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4E7B">
            <w:pPr>
              <w:pStyle w:val="19"/>
              <w:bidi w:val="0"/>
              <w:rPr>
                <w:rFonts w:hint="eastAsia"/>
                <w:highlight w:val="none"/>
              </w:rPr>
            </w:pPr>
            <w:r>
              <w:rPr>
                <w:rFonts w:hint="eastAsia"/>
                <w:highlight w:val="none"/>
                <w:lang w:val="en-US" w:eastAsia="zh-CN"/>
              </w:rPr>
              <w:t>ZK6120CHEVNPG4</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356AF85B">
            <w:pPr>
              <w:pStyle w:val="19"/>
              <w:bidi w:val="0"/>
              <w:rPr>
                <w:rFonts w:hint="eastAsia"/>
                <w:highlight w:val="none"/>
              </w:rPr>
            </w:pPr>
            <w:r>
              <w:rPr>
                <w:rFonts w:hint="eastAsia"/>
                <w:highlight w:val="none"/>
                <w:lang w:val="en-US" w:eastAsia="zh-CN"/>
              </w:rPr>
              <w:t>11</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4481C0A5">
            <w:pPr>
              <w:pStyle w:val="19"/>
              <w:bidi w:val="0"/>
              <w:rPr>
                <w:rFonts w:hint="eastAsia"/>
                <w:highlight w:val="none"/>
              </w:rPr>
            </w:pPr>
            <w:r>
              <w:rPr>
                <w:rFonts w:hint="eastAsia"/>
                <w:highlight w:val="none"/>
                <w:lang w:val="en-US" w:eastAsia="zh-CN"/>
              </w:rPr>
              <w:t>11500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FB5B">
            <w:pPr>
              <w:pStyle w:val="19"/>
              <w:bidi w:val="0"/>
              <w:rPr>
                <w:rFonts w:hint="eastAsia"/>
                <w:highlight w:val="none"/>
              </w:rPr>
            </w:pPr>
            <w:r>
              <w:rPr>
                <w:rFonts w:hint="eastAsia"/>
                <w:highlight w:val="none"/>
                <w:lang w:val="en-US" w:eastAsia="zh-CN"/>
              </w:rPr>
              <w:t xml:space="preserve">22.77 </w:t>
            </w:r>
          </w:p>
        </w:tc>
      </w:tr>
      <w:tr w14:paraId="5CDD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4873">
            <w:pPr>
              <w:pStyle w:val="19"/>
              <w:bidi w:val="0"/>
              <w:rPr>
                <w:rFonts w:hint="eastAsia"/>
                <w:highlight w:val="none"/>
              </w:rPr>
            </w:pPr>
            <w:r>
              <w:rPr>
                <w:rFonts w:hint="eastAsia"/>
                <w:highlight w:val="none"/>
                <w:lang w:val="en-US" w:eastAsia="zh-CN"/>
              </w:rPr>
              <w:t>12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AB87">
            <w:pPr>
              <w:pStyle w:val="19"/>
              <w:bidi w:val="0"/>
              <w:rPr>
                <w:rFonts w:hint="eastAsia"/>
                <w:highlight w:val="none"/>
                <w:lang w:val="en-US" w:eastAsia="zh-CN"/>
              </w:rPr>
            </w:pPr>
            <w:r>
              <w:rPr>
                <w:rFonts w:hint="eastAsia"/>
                <w:highlight w:val="none"/>
                <w:lang w:val="en-US" w:eastAsia="zh-CN"/>
              </w:rPr>
              <w:t>混电</w:t>
            </w:r>
          </w:p>
          <w:p w14:paraId="5E831B0B">
            <w:pPr>
              <w:pStyle w:val="19"/>
              <w:bidi w:val="0"/>
              <w:rPr>
                <w:rFonts w:hint="eastAsia"/>
                <w:highlight w:val="none"/>
              </w:rPr>
            </w:pPr>
            <w:r>
              <w:rPr>
                <w:rFonts w:hint="eastAsia"/>
                <w:highlight w:val="none"/>
                <w:lang w:val="en-US" w:eastAsia="zh-CN"/>
              </w:rPr>
              <w:t>（燃气）</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59FC">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EB3C">
            <w:pPr>
              <w:pStyle w:val="19"/>
              <w:bidi w:val="0"/>
              <w:rPr>
                <w:rFonts w:hint="eastAsia"/>
                <w:highlight w:val="none"/>
              </w:rPr>
            </w:pPr>
            <w:r>
              <w:rPr>
                <w:rFonts w:hint="eastAsia"/>
                <w:highlight w:val="none"/>
                <w:lang w:val="en-US" w:eastAsia="zh-CN"/>
              </w:rPr>
              <w:t>ZK6850CHEVNPG26</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0F8CA8D4">
            <w:pPr>
              <w:pStyle w:val="19"/>
              <w:bidi w:val="0"/>
              <w:rPr>
                <w:rFonts w:hint="eastAsia"/>
                <w:highlight w:val="none"/>
              </w:rPr>
            </w:pPr>
            <w:r>
              <w:rPr>
                <w:rFonts w:hint="eastAsia"/>
                <w:highlight w:val="none"/>
                <w:lang w:val="en-US" w:eastAsia="zh-CN"/>
              </w:rPr>
              <w:t>9</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77566574">
            <w:pPr>
              <w:pStyle w:val="19"/>
              <w:bidi w:val="0"/>
              <w:rPr>
                <w:rFonts w:hint="eastAsia"/>
                <w:highlight w:val="none"/>
              </w:rPr>
            </w:pPr>
            <w:r>
              <w:rPr>
                <w:rFonts w:hint="eastAsia"/>
                <w:highlight w:val="none"/>
                <w:lang w:val="en-US" w:eastAsia="zh-CN"/>
              </w:rPr>
              <w:t>8500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5AF1">
            <w:pPr>
              <w:pStyle w:val="19"/>
              <w:bidi w:val="0"/>
              <w:rPr>
                <w:rFonts w:hint="eastAsia"/>
                <w:highlight w:val="none"/>
              </w:rPr>
            </w:pPr>
            <w:r>
              <w:rPr>
                <w:rFonts w:hint="eastAsia"/>
                <w:highlight w:val="none"/>
                <w:lang w:val="en-US" w:eastAsia="zh-CN"/>
              </w:rPr>
              <w:t xml:space="preserve">22.12 </w:t>
            </w:r>
          </w:p>
        </w:tc>
      </w:tr>
      <w:tr w14:paraId="3DF0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128C">
            <w:pPr>
              <w:pStyle w:val="19"/>
              <w:bidi w:val="0"/>
              <w:rPr>
                <w:rFonts w:hint="eastAsia"/>
                <w:highlight w:val="none"/>
              </w:rPr>
            </w:pPr>
            <w:r>
              <w:rPr>
                <w:rFonts w:hint="eastAsia"/>
                <w:highlight w:val="none"/>
                <w:lang w:val="en-US" w:eastAsia="zh-CN"/>
              </w:rPr>
              <w:t>5</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3AF3">
            <w:pPr>
              <w:pStyle w:val="19"/>
              <w:bidi w:val="0"/>
              <w:rPr>
                <w:rFonts w:hint="eastAsia"/>
                <w:highlight w:val="none"/>
              </w:rPr>
            </w:pPr>
            <w:r>
              <w:rPr>
                <w:rFonts w:hint="eastAsia"/>
                <w:highlight w:val="none"/>
                <w:lang w:val="en-US" w:eastAsia="zh-CN"/>
              </w:rPr>
              <w:t>纯电</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7D8B">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6EF0">
            <w:pPr>
              <w:pStyle w:val="19"/>
              <w:bidi w:val="0"/>
              <w:rPr>
                <w:rFonts w:hint="eastAsia"/>
                <w:highlight w:val="none"/>
              </w:rPr>
            </w:pPr>
            <w:r>
              <w:rPr>
                <w:rFonts w:hint="eastAsia"/>
                <w:highlight w:val="none"/>
                <w:lang w:val="en-US" w:eastAsia="zh-CN"/>
              </w:rPr>
              <w:t>ZK6105BEVG6</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257EDA54">
            <w:pPr>
              <w:pStyle w:val="19"/>
              <w:bidi w:val="0"/>
              <w:rPr>
                <w:rFonts w:hint="eastAsia"/>
                <w:highlight w:val="none"/>
              </w:rPr>
            </w:pPr>
            <w:r>
              <w:rPr>
                <w:rFonts w:hint="eastAsia"/>
                <w:highlight w:val="none"/>
                <w:lang w:val="en-US" w:eastAsia="zh-CN"/>
              </w:rPr>
              <w:t>10</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34A5290C">
            <w:pPr>
              <w:pStyle w:val="19"/>
              <w:bidi w:val="0"/>
              <w:rPr>
                <w:rFonts w:hint="eastAsia"/>
                <w:highlight w:val="none"/>
              </w:rPr>
            </w:pPr>
            <w:r>
              <w:rPr>
                <w:rFonts w:hint="eastAsia"/>
                <w:highlight w:val="none"/>
                <w:lang w:val="en-US" w:eastAsia="zh-CN"/>
              </w:rPr>
              <w:t>10500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33CE">
            <w:pPr>
              <w:pStyle w:val="19"/>
              <w:bidi w:val="0"/>
              <w:rPr>
                <w:rFonts w:hint="eastAsia"/>
                <w:highlight w:val="none"/>
              </w:rPr>
            </w:pPr>
            <w:r>
              <w:rPr>
                <w:rFonts w:hint="eastAsia"/>
                <w:highlight w:val="none"/>
                <w:lang w:val="en-US" w:eastAsia="zh-CN"/>
              </w:rPr>
              <w:t xml:space="preserve">76.35 </w:t>
            </w:r>
          </w:p>
        </w:tc>
      </w:tr>
      <w:tr w14:paraId="54A0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C4B4">
            <w:pPr>
              <w:pStyle w:val="19"/>
              <w:bidi w:val="0"/>
              <w:rPr>
                <w:rFonts w:hint="eastAsia"/>
                <w:highlight w:val="none"/>
              </w:rPr>
            </w:pPr>
            <w:r>
              <w:rPr>
                <w:rFonts w:hint="eastAsia"/>
                <w:highlight w:val="none"/>
                <w:lang w:val="en-US" w:eastAsia="zh-CN"/>
              </w:rPr>
              <w:t>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79C4">
            <w:pPr>
              <w:pStyle w:val="19"/>
              <w:bidi w:val="0"/>
              <w:rPr>
                <w:rFonts w:hint="eastAsia"/>
                <w:highlight w:val="none"/>
              </w:rPr>
            </w:pPr>
            <w:r>
              <w:rPr>
                <w:rFonts w:hint="eastAsia"/>
                <w:highlight w:val="none"/>
                <w:lang w:val="en-US" w:eastAsia="zh-CN"/>
              </w:rPr>
              <w:t>纯电</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3F55">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2AEE">
            <w:pPr>
              <w:pStyle w:val="19"/>
              <w:bidi w:val="0"/>
              <w:rPr>
                <w:rFonts w:hint="eastAsia"/>
                <w:highlight w:val="none"/>
              </w:rPr>
            </w:pPr>
            <w:r>
              <w:rPr>
                <w:rFonts w:hint="eastAsia"/>
                <w:highlight w:val="none"/>
                <w:lang w:val="en-US" w:eastAsia="zh-CN"/>
              </w:rPr>
              <w:t>ZK6106BEVG6</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046C8BCF">
            <w:pPr>
              <w:pStyle w:val="19"/>
              <w:bidi w:val="0"/>
              <w:rPr>
                <w:rFonts w:hint="eastAsia"/>
                <w:highlight w:val="none"/>
              </w:rPr>
            </w:pPr>
            <w:r>
              <w:rPr>
                <w:rFonts w:hint="eastAsia"/>
                <w:highlight w:val="none"/>
                <w:lang w:val="en-US" w:eastAsia="zh-CN"/>
              </w:rPr>
              <w:t>6</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40A33B93">
            <w:pPr>
              <w:pStyle w:val="19"/>
              <w:bidi w:val="0"/>
              <w:rPr>
                <w:rFonts w:hint="eastAsia"/>
                <w:highlight w:val="none"/>
              </w:rPr>
            </w:pPr>
            <w:r>
              <w:rPr>
                <w:rFonts w:hint="eastAsia"/>
                <w:highlight w:val="none"/>
                <w:lang w:val="en-US" w:eastAsia="zh-CN"/>
              </w:rPr>
              <w:t>10500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4043">
            <w:pPr>
              <w:pStyle w:val="19"/>
              <w:bidi w:val="0"/>
              <w:rPr>
                <w:rFonts w:hint="eastAsia"/>
                <w:highlight w:val="none"/>
              </w:rPr>
            </w:pPr>
            <w:r>
              <w:rPr>
                <w:rFonts w:hint="eastAsia"/>
                <w:highlight w:val="none"/>
                <w:lang w:val="en-US" w:eastAsia="zh-CN"/>
              </w:rPr>
              <w:t xml:space="preserve">69.90 </w:t>
            </w:r>
          </w:p>
        </w:tc>
      </w:tr>
      <w:tr w14:paraId="5024F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5528">
            <w:pPr>
              <w:pStyle w:val="19"/>
              <w:bidi w:val="0"/>
              <w:rPr>
                <w:rFonts w:hint="eastAsia"/>
                <w:highlight w:val="none"/>
              </w:rPr>
            </w:pPr>
            <w:r>
              <w:rPr>
                <w:rFonts w:hint="eastAsia"/>
                <w:highlight w:val="none"/>
                <w:lang w:val="en-US" w:eastAsia="zh-CN"/>
              </w:rPr>
              <w:t>10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BAE1">
            <w:pPr>
              <w:pStyle w:val="19"/>
              <w:bidi w:val="0"/>
              <w:rPr>
                <w:rFonts w:hint="eastAsia"/>
                <w:highlight w:val="none"/>
              </w:rPr>
            </w:pPr>
            <w:r>
              <w:rPr>
                <w:rFonts w:hint="eastAsia"/>
                <w:highlight w:val="none"/>
                <w:lang w:val="en-US" w:eastAsia="zh-CN"/>
              </w:rPr>
              <w:t>纯电</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E535">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6D55">
            <w:pPr>
              <w:pStyle w:val="19"/>
              <w:bidi w:val="0"/>
              <w:rPr>
                <w:rFonts w:hint="eastAsia"/>
                <w:highlight w:val="none"/>
              </w:rPr>
            </w:pPr>
            <w:r>
              <w:rPr>
                <w:rFonts w:hint="eastAsia"/>
                <w:highlight w:val="none"/>
                <w:lang w:val="en-US" w:eastAsia="zh-CN"/>
              </w:rPr>
              <w:t>ZK6805BEVG10</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19C35242">
            <w:pPr>
              <w:pStyle w:val="19"/>
              <w:bidi w:val="0"/>
              <w:rPr>
                <w:rFonts w:hint="eastAsia"/>
                <w:highlight w:val="none"/>
              </w:rPr>
            </w:pPr>
            <w:r>
              <w:rPr>
                <w:rFonts w:hint="eastAsia"/>
                <w:highlight w:val="none"/>
                <w:lang w:val="en-US" w:eastAsia="zh-CN"/>
              </w:rPr>
              <w:t>9</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5029693B">
            <w:pPr>
              <w:pStyle w:val="19"/>
              <w:bidi w:val="0"/>
              <w:rPr>
                <w:rFonts w:hint="eastAsia"/>
                <w:highlight w:val="none"/>
              </w:rPr>
            </w:pPr>
            <w:r>
              <w:rPr>
                <w:rFonts w:hint="eastAsia"/>
                <w:highlight w:val="none"/>
                <w:lang w:val="en-US" w:eastAsia="zh-CN"/>
              </w:rPr>
              <w:t>8050</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D6D9">
            <w:pPr>
              <w:pStyle w:val="19"/>
              <w:bidi w:val="0"/>
              <w:rPr>
                <w:rFonts w:hint="eastAsia"/>
                <w:highlight w:val="none"/>
              </w:rPr>
            </w:pPr>
            <w:r>
              <w:rPr>
                <w:rFonts w:hint="eastAsia"/>
                <w:highlight w:val="none"/>
                <w:lang w:val="en-US" w:eastAsia="zh-CN"/>
              </w:rPr>
              <w:t xml:space="preserve">55.39 </w:t>
            </w:r>
          </w:p>
        </w:tc>
      </w:tr>
      <w:tr w14:paraId="2C45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7768">
            <w:pPr>
              <w:pStyle w:val="19"/>
              <w:bidi w:val="0"/>
              <w:rPr>
                <w:rFonts w:hint="eastAsia"/>
                <w:highlight w:val="none"/>
              </w:rPr>
            </w:pPr>
            <w:r>
              <w:rPr>
                <w:rFonts w:hint="eastAsia"/>
                <w:highlight w:val="none"/>
                <w:lang w:val="en-US" w:eastAsia="zh-CN"/>
              </w:rPr>
              <w:t>11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CE67">
            <w:pPr>
              <w:pStyle w:val="19"/>
              <w:bidi w:val="0"/>
              <w:rPr>
                <w:rFonts w:hint="eastAsia"/>
                <w:highlight w:val="none"/>
              </w:rPr>
            </w:pPr>
            <w:r>
              <w:rPr>
                <w:rFonts w:hint="eastAsia"/>
                <w:highlight w:val="none"/>
                <w:lang w:val="en-US" w:eastAsia="zh-CN"/>
              </w:rPr>
              <w:t>纯电</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9DF6">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8C39">
            <w:pPr>
              <w:pStyle w:val="19"/>
              <w:bidi w:val="0"/>
              <w:rPr>
                <w:rFonts w:hint="eastAsia"/>
                <w:highlight w:val="none"/>
              </w:rPr>
            </w:pPr>
            <w:r>
              <w:rPr>
                <w:rFonts w:hint="eastAsia"/>
                <w:highlight w:val="none"/>
                <w:lang w:val="en-US" w:eastAsia="zh-CN"/>
              </w:rPr>
              <w:t>ZK6816BEVG10</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4D9D98A5">
            <w:pPr>
              <w:pStyle w:val="19"/>
              <w:bidi w:val="0"/>
              <w:rPr>
                <w:rFonts w:hint="eastAsia"/>
                <w:highlight w:val="none"/>
              </w:rPr>
            </w:pPr>
            <w:r>
              <w:rPr>
                <w:rFonts w:hint="eastAsia"/>
                <w:highlight w:val="none"/>
                <w:lang w:val="en-US" w:eastAsia="zh-CN"/>
              </w:rPr>
              <w:t>5</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2BE33818">
            <w:pPr>
              <w:pStyle w:val="19"/>
              <w:bidi w:val="0"/>
              <w:rPr>
                <w:rFonts w:hint="eastAsia"/>
                <w:highlight w:val="none"/>
              </w:rPr>
            </w:pPr>
            <w:r>
              <w:rPr>
                <w:rFonts w:hint="eastAsia"/>
                <w:highlight w:val="none"/>
                <w:lang w:val="en-US" w:eastAsia="zh-CN"/>
              </w:rPr>
              <w:t>8145*</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1CEF">
            <w:pPr>
              <w:pStyle w:val="19"/>
              <w:bidi w:val="0"/>
              <w:rPr>
                <w:rFonts w:hint="eastAsia"/>
                <w:highlight w:val="none"/>
              </w:rPr>
            </w:pPr>
            <w:r>
              <w:rPr>
                <w:rFonts w:hint="eastAsia"/>
                <w:highlight w:val="none"/>
                <w:lang w:val="en-US" w:eastAsia="zh-CN"/>
              </w:rPr>
              <w:t xml:space="preserve">59.97 </w:t>
            </w:r>
          </w:p>
        </w:tc>
      </w:tr>
      <w:tr w14:paraId="4527A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6077">
            <w:pPr>
              <w:pStyle w:val="19"/>
              <w:bidi w:val="0"/>
              <w:rPr>
                <w:rFonts w:hint="eastAsia"/>
                <w:highlight w:val="none"/>
              </w:rPr>
            </w:pPr>
            <w:r>
              <w:rPr>
                <w:rFonts w:hint="eastAsia"/>
                <w:highlight w:val="none"/>
                <w:lang w:val="en-US" w:eastAsia="zh-CN"/>
              </w:rPr>
              <w:t>13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1980">
            <w:pPr>
              <w:pStyle w:val="19"/>
              <w:bidi w:val="0"/>
              <w:rPr>
                <w:rFonts w:hint="eastAsia"/>
                <w:highlight w:val="none"/>
              </w:rPr>
            </w:pPr>
            <w:r>
              <w:rPr>
                <w:rFonts w:hint="eastAsia"/>
                <w:highlight w:val="none"/>
                <w:lang w:val="en-US" w:eastAsia="zh-CN"/>
              </w:rPr>
              <w:t>纯电</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BE8E">
            <w:pPr>
              <w:pStyle w:val="19"/>
              <w:bidi w:val="0"/>
              <w:rPr>
                <w:rFonts w:hint="eastAsia"/>
                <w:highlight w:val="none"/>
              </w:rPr>
            </w:pPr>
            <w:r>
              <w:rPr>
                <w:rFonts w:hint="eastAsia"/>
                <w:highlight w:val="none"/>
                <w:lang w:val="en-US" w:eastAsia="zh-CN"/>
              </w:rPr>
              <w:t>宇通</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3869">
            <w:pPr>
              <w:pStyle w:val="19"/>
              <w:bidi w:val="0"/>
              <w:rPr>
                <w:rFonts w:hint="eastAsia"/>
                <w:highlight w:val="none"/>
              </w:rPr>
            </w:pPr>
            <w:r>
              <w:rPr>
                <w:rFonts w:hint="eastAsia"/>
                <w:highlight w:val="none"/>
                <w:lang w:val="en-US" w:eastAsia="zh-CN"/>
              </w:rPr>
              <w:t>ZK6816BEVG16</w:t>
            </w:r>
          </w:p>
        </w:tc>
        <w:tc>
          <w:tcPr>
            <w:tcW w:w="474" w:type="pct"/>
            <w:tcBorders>
              <w:top w:val="single" w:color="000000" w:sz="4" w:space="0"/>
              <w:left w:val="single" w:color="000000" w:sz="4" w:space="0"/>
              <w:bottom w:val="single" w:color="000000" w:sz="4" w:space="0"/>
              <w:right w:val="nil"/>
            </w:tcBorders>
            <w:shd w:val="clear" w:color="auto" w:fill="auto"/>
            <w:noWrap/>
            <w:vAlign w:val="center"/>
          </w:tcPr>
          <w:p w14:paraId="34D016D9">
            <w:pPr>
              <w:pStyle w:val="19"/>
              <w:bidi w:val="0"/>
              <w:rPr>
                <w:rFonts w:hint="eastAsia"/>
                <w:highlight w:val="none"/>
              </w:rPr>
            </w:pPr>
            <w:r>
              <w:rPr>
                <w:rFonts w:hint="eastAsia"/>
                <w:highlight w:val="none"/>
                <w:lang w:val="en-US" w:eastAsia="zh-CN"/>
              </w:rPr>
              <w:t>2</w:t>
            </w:r>
          </w:p>
        </w:tc>
        <w:tc>
          <w:tcPr>
            <w:tcW w:w="562" w:type="pct"/>
            <w:tcBorders>
              <w:top w:val="single" w:color="000000" w:sz="4" w:space="0"/>
              <w:left w:val="single" w:color="000000" w:sz="4" w:space="0"/>
              <w:bottom w:val="single" w:color="000000" w:sz="4" w:space="0"/>
              <w:right w:val="nil"/>
            </w:tcBorders>
            <w:shd w:val="clear" w:color="auto" w:fill="auto"/>
            <w:noWrap/>
            <w:vAlign w:val="center"/>
          </w:tcPr>
          <w:p w14:paraId="785D9A4C">
            <w:pPr>
              <w:pStyle w:val="19"/>
              <w:bidi w:val="0"/>
              <w:rPr>
                <w:rFonts w:hint="eastAsia"/>
                <w:highlight w:val="none"/>
              </w:rPr>
            </w:pPr>
            <w:r>
              <w:rPr>
                <w:rFonts w:hint="eastAsia"/>
                <w:highlight w:val="none"/>
                <w:lang w:val="en-US" w:eastAsia="zh-CN"/>
              </w:rPr>
              <w:t>8145</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AF3B">
            <w:pPr>
              <w:pStyle w:val="19"/>
              <w:bidi w:val="0"/>
              <w:rPr>
                <w:rFonts w:hint="eastAsia"/>
                <w:highlight w:val="none"/>
              </w:rPr>
            </w:pPr>
            <w:r>
              <w:rPr>
                <w:rFonts w:hint="eastAsia"/>
                <w:highlight w:val="none"/>
                <w:lang w:val="en-US" w:eastAsia="zh-CN"/>
              </w:rPr>
              <w:t xml:space="preserve">55.50 </w:t>
            </w:r>
          </w:p>
        </w:tc>
      </w:tr>
    </w:tbl>
    <w:p w14:paraId="1BEAB8A6">
      <w:pPr>
        <w:bidi w:val="0"/>
        <w:rPr>
          <w:rFonts w:hint="default"/>
          <w:highlight w:val="none"/>
          <w:lang w:val="en-US" w:eastAsia="zh-CN"/>
        </w:rPr>
      </w:pPr>
    </w:p>
    <w:p w14:paraId="01DDC058">
      <w:pPr>
        <w:pStyle w:val="7"/>
        <w:bidi w:val="0"/>
        <w:jc w:val="both"/>
        <w:rPr>
          <w:rFonts w:hint="eastAsia"/>
          <w:highlight w:val="none"/>
          <w:lang w:val="en-US" w:eastAsia="zh-CN"/>
        </w:rPr>
      </w:pPr>
      <w:r>
        <w:rPr>
          <w:rFonts w:hint="eastAsia"/>
          <w:highlight w:val="none"/>
          <w:lang w:val="en-US" w:eastAsia="zh-CN"/>
        </w:rPr>
        <w:t>附件2：维修费标准值</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29"/>
        <w:gridCol w:w="4532"/>
      </w:tblGrid>
      <w:tr w14:paraId="436C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2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642E">
            <w:pPr>
              <w:pStyle w:val="19"/>
              <w:bidi w:val="0"/>
              <w:rPr>
                <w:rFonts w:hint="default"/>
                <w:highlight w:val="none"/>
                <w:lang w:val="en-US" w:eastAsia="zh-CN"/>
              </w:rPr>
            </w:pPr>
            <w:r>
              <w:rPr>
                <w:rFonts w:hint="eastAsia"/>
                <w:highlight w:val="none"/>
                <w:lang w:val="en-US" w:eastAsia="zh-CN"/>
              </w:rPr>
              <w:t>项目</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C8ED">
            <w:pPr>
              <w:pStyle w:val="19"/>
              <w:bidi w:val="0"/>
              <w:rPr>
                <w:rFonts w:hint="default"/>
                <w:highlight w:val="none"/>
                <w:lang w:val="en-US" w:eastAsia="zh-CN"/>
              </w:rPr>
            </w:pPr>
            <w:r>
              <w:rPr>
                <w:rFonts w:hint="eastAsia"/>
                <w:highlight w:val="none"/>
                <w:lang w:val="en-US" w:eastAsia="zh-CN"/>
              </w:rPr>
              <w:t>标准值</w:t>
            </w:r>
          </w:p>
        </w:tc>
      </w:tr>
      <w:tr w14:paraId="4772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8761">
            <w:pPr>
              <w:pStyle w:val="19"/>
              <w:bidi w:val="0"/>
              <w:rPr>
                <w:rFonts w:hint="eastAsia"/>
                <w:highlight w:val="none"/>
              </w:rPr>
            </w:pPr>
            <w:r>
              <w:rPr>
                <w:rFonts w:hint="eastAsia"/>
                <w:highlight w:val="none"/>
                <w:lang w:val="en-US" w:eastAsia="zh-CN"/>
              </w:rPr>
              <w:t>千公里维修费标准值（元/千公里）</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B0C7">
            <w:pPr>
              <w:pStyle w:val="19"/>
              <w:bidi w:val="0"/>
              <w:rPr>
                <w:rFonts w:hint="eastAsia"/>
                <w:highlight w:val="none"/>
              </w:rPr>
            </w:pPr>
            <w:r>
              <w:rPr>
                <w:rFonts w:hint="eastAsia"/>
                <w:highlight w:val="none"/>
                <w:lang w:val="en-US" w:eastAsia="zh-CN"/>
              </w:rPr>
              <w:t>148.87</w:t>
            </w:r>
          </w:p>
        </w:tc>
      </w:tr>
    </w:tbl>
    <w:p w14:paraId="323CF222">
      <w:pPr>
        <w:bidi w:val="0"/>
        <w:rPr>
          <w:rFonts w:hint="default"/>
          <w:highlight w:val="none"/>
          <w:lang w:val="en-US" w:eastAsia="zh-CN"/>
        </w:rPr>
      </w:pPr>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4863">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0B52F">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10B52F">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EC1C">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B4381"/>
    <w:multiLevelType w:val="singleLevel"/>
    <w:tmpl w:val="908B4381"/>
    <w:lvl w:ilvl="0" w:tentative="0">
      <w:start w:val="1"/>
      <w:numFmt w:val="chineseCounting"/>
      <w:pStyle w:val="18"/>
      <w:suff w:val="space"/>
      <w:lvlText w:val="第%1条"/>
      <w:lvlJc w:val="left"/>
      <w:pPr>
        <w:tabs>
          <w:tab w:val="left" w:pos="420"/>
        </w:tabs>
        <w:ind w:left="420" w:leftChars="0" w:hanging="420" w:firstLineChars="0"/>
      </w:pPr>
      <w:rPr>
        <w:rFonts w:hint="eastAsia" w:ascii="Times New Roman" w:hAnsi="Times New Roman" w:eastAsia="黑体"/>
        <w:sz w:val="32"/>
        <w:szCs w:val="32"/>
      </w:rPr>
    </w:lvl>
  </w:abstractNum>
  <w:abstractNum w:abstractNumId="1">
    <w:nsid w:val="AEFA3A0C"/>
    <w:multiLevelType w:val="singleLevel"/>
    <w:tmpl w:val="AEFA3A0C"/>
    <w:lvl w:ilvl="0" w:tentative="0">
      <w:start w:val="1"/>
      <w:numFmt w:val="decimal"/>
      <w:pStyle w:val="9"/>
      <w:suff w:val="nothing"/>
      <w:lvlText w:val="%1."/>
      <w:lvlJc w:val="left"/>
      <w:pPr>
        <w:tabs>
          <w:tab w:val="left" w:pos="0"/>
        </w:tabs>
        <w:ind w:left="420" w:leftChars="0" w:hanging="420" w:firstLineChars="0"/>
      </w:pPr>
      <w:rPr>
        <w:rFonts w:hint="default"/>
      </w:rPr>
    </w:lvl>
  </w:abstractNum>
  <w:abstractNum w:abstractNumId="2">
    <w:nsid w:val="1DA216F0"/>
    <w:multiLevelType w:val="multilevel"/>
    <w:tmpl w:val="1DA216F0"/>
    <w:lvl w:ilvl="0" w:tentative="0">
      <w:start w:val="1"/>
      <w:numFmt w:val="chineseCountingThousand"/>
      <w:pStyle w:val="4"/>
      <w:lvlText w:val="第%1章　"/>
      <w:lvlJc w:val="left"/>
      <w:pPr>
        <w:widowControl/>
        <w:tabs>
          <w:tab w:val="left" w:pos="1440"/>
        </w:tabs>
        <w:spacing w:line="240" w:lineRule="auto"/>
        <w:ind w:left="720" w:hanging="720"/>
      </w:pPr>
      <w:rPr>
        <w:sz w:val="32"/>
      </w:rPr>
    </w:lvl>
    <w:lvl w:ilvl="1" w:tentative="0">
      <w:start w:val="1"/>
      <w:numFmt w:val="lowerRoman"/>
      <w:lvlText w:val="(%1)"/>
      <w:lvlJc w:val="left"/>
      <w:pPr>
        <w:widowControl/>
        <w:tabs>
          <w:tab w:val="left" w:pos="861"/>
        </w:tabs>
        <w:spacing w:line="240" w:lineRule="auto"/>
        <w:ind w:left="861" w:hanging="720"/>
      </w:pPr>
    </w:lvl>
    <w:lvl w:ilvl="2" w:tentative="0">
      <w:start w:val="1"/>
      <w:numFmt w:val="lowerLetter"/>
      <w:lvlText w:val="(%1)"/>
      <w:lvlJc w:val="left"/>
      <w:pPr>
        <w:widowControl/>
        <w:tabs>
          <w:tab w:val="left" w:pos="1335"/>
        </w:tabs>
        <w:spacing w:line="240" w:lineRule="auto"/>
        <w:ind w:left="1335" w:hanging="495"/>
      </w:pPr>
    </w:lvl>
    <w:lvl w:ilvl="3" w:tentative="0">
      <w:start w:val="1"/>
      <w:numFmt w:val="decimal"/>
      <w:lvlText w:val="%1."/>
      <w:lvlJc w:val="left"/>
      <w:pPr>
        <w:widowControl/>
        <w:tabs>
          <w:tab w:val="left" w:pos="1680"/>
        </w:tabs>
        <w:spacing w:line="240" w:lineRule="auto"/>
        <w:ind w:left="1680" w:hanging="420"/>
      </w:pPr>
    </w:lvl>
    <w:lvl w:ilvl="4" w:tentative="0">
      <w:start w:val="1"/>
      <w:numFmt w:val="lowerLetter"/>
      <w:lvlText w:val="%1)"/>
      <w:lvlJc w:val="left"/>
      <w:pPr>
        <w:widowControl/>
        <w:tabs>
          <w:tab w:val="left" w:pos="2100"/>
        </w:tabs>
        <w:spacing w:line="240" w:lineRule="auto"/>
        <w:ind w:left="2100" w:hanging="420"/>
      </w:pPr>
    </w:lvl>
    <w:lvl w:ilvl="5" w:tentative="0">
      <w:start w:val="1"/>
      <w:numFmt w:val="lowerRoman"/>
      <w:lvlText w:val="%1."/>
      <w:lvlJc w:val="right"/>
      <w:pPr>
        <w:widowControl/>
        <w:tabs>
          <w:tab w:val="left" w:pos="2520"/>
        </w:tabs>
        <w:spacing w:line="240" w:lineRule="auto"/>
        <w:ind w:left="2520" w:hanging="420"/>
      </w:pPr>
    </w:lvl>
    <w:lvl w:ilvl="6" w:tentative="0">
      <w:start w:val="1"/>
      <w:numFmt w:val="decimal"/>
      <w:lvlText w:val="%1."/>
      <w:lvlJc w:val="left"/>
      <w:pPr>
        <w:widowControl/>
        <w:tabs>
          <w:tab w:val="left" w:pos="2940"/>
        </w:tabs>
        <w:spacing w:line="240" w:lineRule="auto"/>
        <w:ind w:left="2940" w:hanging="420"/>
      </w:pPr>
    </w:lvl>
    <w:lvl w:ilvl="7" w:tentative="0">
      <w:start w:val="1"/>
      <w:numFmt w:val="lowerLetter"/>
      <w:lvlText w:val="%1)"/>
      <w:lvlJc w:val="left"/>
      <w:pPr>
        <w:widowControl/>
        <w:tabs>
          <w:tab w:val="left" w:pos="3360"/>
        </w:tabs>
        <w:spacing w:line="240" w:lineRule="auto"/>
        <w:ind w:left="3360" w:hanging="420"/>
      </w:pPr>
    </w:lvl>
    <w:lvl w:ilvl="8" w:tentative="0">
      <w:start w:val="1"/>
      <w:numFmt w:val="lowerRoman"/>
      <w:lvlText w:val="%1."/>
      <w:lvlJc w:val="right"/>
      <w:pPr>
        <w:widowControl/>
        <w:tabs>
          <w:tab w:val="left" w:pos="3780"/>
        </w:tabs>
        <w:spacing w:line="240" w:lineRule="auto"/>
        <w:ind w:left="3780" w:hanging="420"/>
      </w:pPr>
    </w:lvl>
  </w:abstractNum>
  <w:abstractNum w:abstractNumId="3">
    <w:nsid w:val="2C6EA5F7"/>
    <w:multiLevelType w:val="singleLevel"/>
    <w:tmpl w:val="2C6EA5F7"/>
    <w:lvl w:ilvl="0" w:tentative="0">
      <w:start w:val="1"/>
      <w:numFmt w:val="chineseCounting"/>
      <w:pStyle w:val="8"/>
      <w:suff w:val="nothing"/>
      <w:lvlText w:val="（%1）"/>
      <w:lvlJc w:val="left"/>
      <w:pPr>
        <w:ind w:left="0" w:firstLine="420"/>
      </w:pPr>
      <w:rPr>
        <w:rFonts w:hint="eastAsia"/>
      </w:rPr>
    </w:lvl>
  </w:abstractNum>
  <w:abstractNum w:abstractNumId="4">
    <w:nsid w:val="69E967D4"/>
    <w:multiLevelType w:val="singleLevel"/>
    <w:tmpl w:val="69E967D4"/>
    <w:lvl w:ilvl="0" w:tentative="0">
      <w:start w:val="4"/>
      <w:numFmt w:val="chineseCounting"/>
      <w:suff w:val="space"/>
      <w:lvlText w:val="第%1章"/>
      <w:lvlJc w:val="left"/>
      <w:rPr>
        <w:rFonts w:hint="eastAsia"/>
      </w:rPr>
    </w:lvl>
  </w:abstractNum>
  <w:num w:numId="1">
    <w:abstractNumId w:val="3"/>
  </w:num>
  <w:num w:numId="2">
    <w:abstractNumId w:val="1"/>
  </w:num>
  <w:num w:numId="3">
    <w:abstractNumId w:val="2"/>
  </w:num>
  <w:num w:numId="4">
    <w:abstractNumId w:val="0"/>
  </w:num>
  <w:num w:numId="5">
    <w:abstractNumId w:val="3"/>
    <w:lvlOverride w:ilvl="0">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3CC"/>
    <w:rsid w:val="00051579"/>
    <w:rsid w:val="001570FF"/>
    <w:rsid w:val="001A3F2F"/>
    <w:rsid w:val="00327CB1"/>
    <w:rsid w:val="00515C5E"/>
    <w:rsid w:val="005216FF"/>
    <w:rsid w:val="005A2D64"/>
    <w:rsid w:val="006E51C3"/>
    <w:rsid w:val="00757B9E"/>
    <w:rsid w:val="007B562B"/>
    <w:rsid w:val="00846033"/>
    <w:rsid w:val="008C6C96"/>
    <w:rsid w:val="008D313A"/>
    <w:rsid w:val="009005A0"/>
    <w:rsid w:val="00975D66"/>
    <w:rsid w:val="00CB5A10"/>
    <w:rsid w:val="00D5063D"/>
    <w:rsid w:val="00F66F31"/>
    <w:rsid w:val="00FE1942"/>
    <w:rsid w:val="0112363F"/>
    <w:rsid w:val="011473B7"/>
    <w:rsid w:val="01213882"/>
    <w:rsid w:val="01253372"/>
    <w:rsid w:val="012670EA"/>
    <w:rsid w:val="01341807"/>
    <w:rsid w:val="01444A6E"/>
    <w:rsid w:val="01510A39"/>
    <w:rsid w:val="016D4D19"/>
    <w:rsid w:val="017240DE"/>
    <w:rsid w:val="017929EF"/>
    <w:rsid w:val="01875DDB"/>
    <w:rsid w:val="018A58CB"/>
    <w:rsid w:val="019422A6"/>
    <w:rsid w:val="01997E00"/>
    <w:rsid w:val="01A00C4B"/>
    <w:rsid w:val="01A46F9C"/>
    <w:rsid w:val="01C7267B"/>
    <w:rsid w:val="01C9417B"/>
    <w:rsid w:val="01CC7C92"/>
    <w:rsid w:val="01CD6D47"/>
    <w:rsid w:val="01D408F4"/>
    <w:rsid w:val="01D454A1"/>
    <w:rsid w:val="01F1594A"/>
    <w:rsid w:val="01F62F61"/>
    <w:rsid w:val="01FB5C4F"/>
    <w:rsid w:val="02104022"/>
    <w:rsid w:val="02133E97"/>
    <w:rsid w:val="02160F0D"/>
    <w:rsid w:val="02210F23"/>
    <w:rsid w:val="024562EB"/>
    <w:rsid w:val="025308EF"/>
    <w:rsid w:val="0261662C"/>
    <w:rsid w:val="026B1259"/>
    <w:rsid w:val="02704AC1"/>
    <w:rsid w:val="028C11CF"/>
    <w:rsid w:val="028E13EB"/>
    <w:rsid w:val="028E4F47"/>
    <w:rsid w:val="02911D29"/>
    <w:rsid w:val="029E2E94"/>
    <w:rsid w:val="02A9391C"/>
    <w:rsid w:val="02B349AE"/>
    <w:rsid w:val="02B614D4"/>
    <w:rsid w:val="02C1356F"/>
    <w:rsid w:val="02C866AB"/>
    <w:rsid w:val="02E24FDE"/>
    <w:rsid w:val="02EB05EB"/>
    <w:rsid w:val="02EB239A"/>
    <w:rsid w:val="02ED1C6E"/>
    <w:rsid w:val="02EE59E6"/>
    <w:rsid w:val="02EF1E8A"/>
    <w:rsid w:val="03314DFF"/>
    <w:rsid w:val="03321D76"/>
    <w:rsid w:val="033A0C2B"/>
    <w:rsid w:val="033E6F74"/>
    <w:rsid w:val="034D4E02"/>
    <w:rsid w:val="03683B28"/>
    <w:rsid w:val="03726617"/>
    <w:rsid w:val="037576B9"/>
    <w:rsid w:val="037D69B4"/>
    <w:rsid w:val="037E320E"/>
    <w:rsid w:val="03814DA7"/>
    <w:rsid w:val="03885E3A"/>
    <w:rsid w:val="03912F41"/>
    <w:rsid w:val="03942A31"/>
    <w:rsid w:val="03A569EC"/>
    <w:rsid w:val="03AD58A1"/>
    <w:rsid w:val="03B64756"/>
    <w:rsid w:val="03B658EE"/>
    <w:rsid w:val="03B94246"/>
    <w:rsid w:val="03C07382"/>
    <w:rsid w:val="03C350C4"/>
    <w:rsid w:val="03C92689"/>
    <w:rsid w:val="03CA6453"/>
    <w:rsid w:val="03CE7CF1"/>
    <w:rsid w:val="03D472D2"/>
    <w:rsid w:val="03E5328D"/>
    <w:rsid w:val="041C56D0"/>
    <w:rsid w:val="042C5F2B"/>
    <w:rsid w:val="043164D2"/>
    <w:rsid w:val="043A5387"/>
    <w:rsid w:val="04510922"/>
    <w:rsid w:val="0458580D"/>
    <w:rsid w:val="045A77D7"/>
    <w:rsid w:val="04610B65"/>
    <w:rsid w:val="0465368F"/>
    <w:rsid w:val="04714B20"/>
    <w:rsid w:val="047168CE"/>
    <w:rsid w:val="04785EAF"/>
    <w:rsid w:val="048C3708"/>
    <w:rsid w:val="048E56D2"/>
    <w:rsid w:val="04980A96"/>
    <w:rsid w:val="04983E5B"/>
    <w:rsid w:val="04A55936"/>
    <w:rsid w:val="04A86FC3"/>
    <w:rsid w:val="04B54A0D"/>
    <w:rsid w:val="04BD1B14"/>
    <w:rsid w:val="04EA7BD9"/>
    <w:rsid w:val="04F05A45"/>
    <w:rsid w:val="04FF212C"/>
    <w:rsid w:val="050C42D8"/>
    <w:rsid w:val="050D4849"/>
    <w:rsid w:val="0523406D"/>
    <w:rsid w:val="053109CC"/>
    <w:rsid w:val="05603F5B"/>
    <w:rsid w:val="05687CD1"/>
    <w:rsid w:val="057E5747"/>
    <w:rsid w:val="058663AA"/>
    <w:rsid w:val="05A3035A"/>
    <w:rsid w:val="05AC2FF4"/>
    <w:rsid w:val="05B66C8F"/>
    <w:rsid w:val="05B80C59"/>
    <w:rsid w:val="05B9570C"/>
    <w:rsid w:val="05C85661"/>
    <w:rsid w:val="05C9468B"/>
    <w:rsid w:val="05DE29C3"/>
    <w:rsid w:val="05EA1493"/>
    <w:rsid w:val="05EB2641"/>
    <w:rsid w:val="05FB28F4"/>
    <w:rsid w:val="06023C82"/>
    <w:rsid w:val="060C2D53"/>
    <w:rsid w:val="06135E8F"/>
    <w:rsid w:val="06141C07"/>
    <w:rsid w:val="063125AB"/>
    <w:rsid w:val="06426774"/>
    <w:rsid w:val="06487227"/>
    <w:rsid w:val="06687B06"/>
    <w:rsid w:val="068E3768"/>
    <w:rsid w:val="06A27008"/>
    <w:rsid w:val="06A452F3"/>
    <w:rsid w:val="06AB60C8"/>
    <w:rsid w:val="06B156A8"/>
    <w:rsid w:val="06B819F2"/>
    <w:rsid w:val="06BF6017"/>
    <w:rsid w:val="06C06AFB"/>
    <w:rsid w:val="06C23411"/>
    <w:rsid w:val="06D7510F"/>
    <w:rsid w:val="06E11AE9"/>
    <w:rsid w:val="06E20753"/>
    <w:rsid w:val="06E93094"/>
    <w:rsid w:val="06FC4B75"/>
    <w:rsid w:val="06FD269B"/>
    <w:rsid w:val="06FF60C7"/>
    <w:rsid w:val="070752C8"/>
    <w:rsid w:val="07230354"/>
    <w:rsid w:val="07282E0A"/>
    <w:rsid w:val="073562D9"/>
    <w:rsid w:val="0752032E"/>
    <w:rsid w:val="07705CC0"/>
    <w:rsid w:val="077F1302"/>
    <w:rsid w:val="078132CC"/>
    <w:rsid w:val="07825978"/>
    <w:rsid w:val="07852DBD"/>
    <w:rsid w:val="078D7EC3"/>
    <w:rsid w:val="07924291"/>
    <w:rsid w:val="07A11279"/>
    <w:rsid w:val="07A86AAB"/>
    <w:rsid w:val="07AF7E3A"/>
    <w:rsid w:val="07B45450"/>
    <w:rsid w:val="07B81991"/>
    <w:rsid w:val="07BF007D"/>
    <w:rsid w:val="07C1191B"/>
    <w:rsid w:val="07C2590B"/>
    <w:rsid w:val="07CB6E0A"/>
    <w:rsid w:val="07D21D7A"/>
    <w:rsid w:val="07DB478B"/>
    <w:rsid w:val="07E21FBD"/>
    <w:rsid w:val="07E775D3"/>
    <w:rsid w:val="07F341CA"/>
    <w:rsid w:val="08030080"/>
    <w:rsid w:val="080D2DB6"/>
    <w:rsid w:val="081B727D"/>
    <w:rsid w:val="0822060B"/>
    <w:rsid w:val="0825634E"/>
    <w:rsid w:val="08291588"/>
    <w:rsid w:val="082C263C"/>
    <w:rsid w:val="082F2D28"/>
    <w:rsid w:val="0831084F"/>
    <w:rsid w:val="08422A5C"/>
    <w:rsid w:val="086724C2"/>
    <w:rsid w:val="0869623A"/>
    <w:rsid w:val="08716E9D"/>
    <w:rsid w:val="08767092"/>
    <w:rsid w:val="08852948"/>
    <w:rsid w:val="088C464C"/>
    <w:rsid w:val="08915791"/>
    <w:rsid w:val="08931509"/>
    <w:rsid w:val="08AC25CB"/>
    <w:rsid w:val="08BB280E"/>
    <w:rsid w:val="08BB4E6E"/>
    <w:rsid w:val="08C571E9"/>
    <w:rsid w:val="08E7715F"/>
    <w:rsid w:val="08F024B8"/>
    <w:rsid w:val="08F04EB8"/>
    <w:rsid w:val="090B5543"/>
    <w:rsid w:val="090C4E18"/>
    <w:rsid w:val="09152EA8"/>
    <w:rsid w:val="092108C3"/>
    <w:rsid w:val="092642D4"/>
    <w:rsid w:val="09353038"/>
    <w:rsid w:val="093C4FAD"/>
    <w:rsid w:val="094255AE"/>
    <w:rsid w:val="094576C5"/>
    <w:rsid w:val="094E71DE"/>
    <w:rsid w:val="095216D9"/>
    <w:rsid w:val="096133B5"/>
    <w:rsid w:val="096779B2"/>
    <w:rsid w:val="096851F1"/>
    <w:rsid w:val="0983157E"/>
    <w:rsid w:val="09862E1C"/>
    <w:rsid w:val="098B3F8E"/>
    <w:rsid w:val="09AD03A9"/>
    <w:rsid w:val="09AE6375"/>
    <w:rsid w:val="09B039F5"/>
    <w:rsid w:val="09BA2AC6"/>
    <w:rsid w:val="09C35E1E"/>
    <w:rsid w:val="09C81AEC"/>
    <w:rsid w:val="09D726B7"/>
    <w:rsid w:val="09D75581"/>
    <w:rsid w:val="09D973F0"/>
    <w:rsid w:val="09ED69F7"/>
    <w:rsid w:val="09F14739"/>
    <w:rsid w:val="09F71624"/>
    <w:rsid w:val="0A081A83"/>
    <w:rsid w:val="0A14667A"/>
    <w:rsid w:val="0A171A87"/>
    <w:rsid w:val="0A1A0365"/>
    <w:rsid w:val="0A1E12A6"/>
    <w:rsid w:val="0A287A2F"/>
    <w:rsid w:val="0A4B6374"/>
    <w:rsid w:val="0A4E2EC8"/>
    <w:rsid w:val="0A6A629A"/>
    <w:rsid w:val="0A8462DA"/>
    <w:rsid w:val="0A854E82"/>
    <w:rsid w:val="0A870BFA"/>
    <w:rsid w:val="0A8D3D36"/>
    <w:rsid w:val="0A96708F"/>
    <w:rsid w:val="0ABB08A3"/>
    <w:rsid w:val="0ABD286D"/>
    <w:rsid w:val="0AE236C2"/>
    <w:rsid w:val="0AE541A8"/>
    <w:rsid w:val="0AEA2F37"/>
    <w:rsid w:val="0AEC4F01"/>
    <w:rsid w:val="0AF12517"/>
    <w:rsid w:val="0AF2189A"/>
    <w:rsid w:val="0AF80FDC"/>
    <w:rsid w:val="0B02450C"/>
    <w:rsid w:val="0B071D3B"/>
    <w:rsid w:val="0B092A8A"/>
    <w:rsid w:val="0B094A92"/>
    <w:rsid w:val="0B0E1FDD"/>
    <w:rsid w:val="0B0E4AAC"/>
    <w:rsid w:val="0B1526A9"/>
    <w:rsid w:val="0B1F0E32"/>
    <w:rsid w:val="0B1F52D6"/>
    <w:rsid w:val="0B415BEC"/>
    <w:rsid w:val="0B424B21"/>
    <w:rsid w:val="0B6D4294"/>
    <w:rsid w:val="0B7078E0"/>
    <w:rsid w:val="0B7E024F"/>
    <w:rsid w:val="0B802303"/>
    <w:rsid w:val="0B844553"/>
    <w:rsid w:val="0BB21CA6"/>
    <w:rsid w:val="0BC67500"/>
    <w:rsid w:val="0BCB0FBA"/>
    <w:rsid w:val="0BD716D7"/>
    <w:rsid w:val="0BF36505"/>
    <w:rsid w:val="0BFA235C"/>
    <w:rsid w:val="0C023496"/>
    <w:rsid w:val="0C0B585A"/>
    <w:rsid w:val="0C0B58E3"/>
    <w:rsid w:val="0C1C1816"/>
    <w:rsid w:val="0C2574AE"/>
    <w:rsid w:val="0C262680"/>
    <w:rsid w:val="0C2D3A23"/>
    <w:rsid w:val="0C344DB1"/>
    <w:rsid w:val="0C57284E"/>
    <w:rsid w:val="0C692CAD"/>
    <w:rsid w:val="0C6A2581"/>
    <w:rsid w:val="0C830617"/>
    <w:rsid w:val="0C9413AC"/>
    <w:rsid w:val="0C9703DB"/>
    <w:rsid w:val="0CA041F5"/>
    <w:rsid w:val="0CAA6E21"/>
    <w:rsid w:val="0CC9374C"/>
    <w:rsid w:val="0CCF5D53"/>
    <w:rsid w:val="0CD45C4C"/>
    <w:rsid w:val="0CDA7707"/>
    <w:rsid w:val="0CE265BB"/>
    <w:rsid w:val="0CE82650"/>
    <w:rsid w:val="0CEE6D0E"/>
    <w:rsid w:val="0CEF2A86"/>
    <w:rsid w:val="0CF303D1"/>
    <w:rsid w:val="0CF54541"/>
    <w:rsid w:val="0CFD1647"/>
    <w:rsid w:val="0CFD51A3"/>
    <w:rsid w:val="0D020A0B"/>
    <w:rsid w:val="0D0227BA"/>
    <w:rsid w:val="0D0F0D82"/>
    <w:rsid w:val="0D0F4ED6"/>
    <w:rsid w:val="0D181FDD"/>
    <w:rsid w:val="0D1B1ACD"/>
    <w:rsid w:val="0D1F511A"/>
    <w:rsid w:val="0D2941EA"/>
    <w:rsid w:val="0D3A63F7"/>
    <w:rsid w:val="0D417786"/>
    <w:rsid w:val="0D4436BB"/>
    <w:rsid w:val="0D46126D"/>
    <w:rsid w:val="0D4F1601"/>
    <w:rsid w:val="0D501777"/>
    <w:rsid w:val="0D58384D"/>
    <w:rsid w:val="0D6E60A1"/>
    <w:rsid w:val="0D722459"/>
    <w:rsid w:val="0D731909"/>
    <w:rsid w:val="0D735465"/>
    <w:rsid w:val="0D7731A8"/>
    <w:rsid w:val="0D920B62"/>
    <w:rsid w:val="0D9378B6"/>
    <w:rsid w:val="0D9C49BC"/>
    <w:rsid w:val="0D9F012F"/>
    <w:rsid w:val="0DAE1A4F"/>
    <w:rsid w:val="0DB25F8E"/>
    <w:rsid w:val="0DB65991"/>
    <w:rsid w:val="0DBC6E0C"/>
    <w:rsid w:val="0DC42165"/>
    <w:rsid w:val="0DC7331D"/>
    <w:rsid w:val="0DCE6AD0"/>
    <w:rsid w:val="0DD34156"/>
    <w:rsid w:val="0DD405FA"/>
    <w:rsid w:val="0DDD6D83"/>
    <w:rsid w:val="0DEA1BCB"/>
    <w:rsid w:val="0DED3F7D"/>
    <w:rsid w:val="0DF06AB6"/>
    <w:rsid w:val="0DF465A6"/>
    <w:rsid w:val="0E130163"/>
    <w:rsid w:val="0E2027D1"/>
    <w:rsid w:val="0E213113"/>
    <w:rsid w:val="0E250E55"/>
    <w:rsid w:val="0E2F75DE"/>
    <w:rsid w:val="0E625C06"/>
    <w:rsid w:val="0E8325FF"/>
    <w:rsid w:val="0E912047"/>
    <w:rsid w:val="0E963B01"/>
    <w:rsid w:val="0EA31D7A"/>
    <w:rsid w:val="0EA43B14"/>
    <w:rsid w:val="0EDE2DB2"/>
    <w:rsid w:val="0EDF1CB4"/>
    <w:rsid w:val="0F1A64E0"/>
    <w:rsid w:val="0F1E1D23"/>
    <w:rsid w:val="0F2E5AE8"/>
    <w:rsid w:val="0F317386"/>
    <w:rsid w:val="0F4075C9"/>
    <w:rsid w:val="0F4325DE"/>
    <w:rsid w:val="0F587009"/>
    <w:rsid w:val="0F5D2403"/>
    <w:rsid w:val="0F783207"/>
    <w:rsid w:val="0F7A4314"/>
    <w:rsid w:val="0F7B6853"/>
    <w:rsid w:val="0F9719DC"/>
    <w:rsid w:val="0F986707"/>
    <w:rsid w:val="0F9B0829"/>
    <w:rsid w:val="0FB14243"/>
    <w:rsid w:val="0FB2044E"/>
    <w:rsid w:val="0FB26719"/>
    <w:rsid w:val="0FB35FED"/>
    <w:rsid w:val="0FE32D76"/>
    <w:rsid w:val="0FE4089C"/>
    <w:rsid w:val="0FEA0D06"/>
    <w:rsid w:val="0FF07241"/>
    <w:rsid w:val="0FFF7484"/>
    <w:rsid w:val="10030D22"/>
    <w:rsid w:val="10073F28"/>
    <w:rsid w:val="100D1BA1"/>
    <w:rsid w:val="101A606C"/>
    <w:rsid w:val="102E38C6"/>
    <w:rsid w:val="103E7FAD"/>
    <w:rsid w:val="106A2F21"/>
    <w:rsid w:val="106D2366"/>
    <w:rsid w:val="108A1444"/>
    <w:rsid w:val="109C64BB"/>
    <w:rsid w:val="109D108C"/>
    <w:rsid w:val="10A85175"/>
    <w:rsid w:val="10AC147F"/>
    <w:rsid w:val="10B20503"/>
    <w:rsid w:val="10B57E5D"/>
    <w:rsid w:val="10B94FC8"/>
    <w:rsid w:val="10C34956"/>
    <w:rsid w:val="10D07E5B"/>
    <w:rsid w:val="10D426BF"/>
    <w:rsid w:val="10E548CC"/>
    <w:rsid w:val="10E87F18"/>
    <w:rsid w:val="10F22B45"/>
    <w:rsid w:val="10F55603"/>
    <w:rsid w:val="110805BA"/>
    <w:rsid w:val="1111746F"/>
    <w:rsid w:val="111807FE"/>
    <w:rsid w:val="112F3D99"/>
    <w:rsid w:val="113373E5"/>
    <w:rsid w:val="11447845"/>
    <w:rsid w:val="11531836"/>
    <w:rsid w:val="1158509E"/>
    <w:rsid w:val="115F1E41"/>
    <w:rsid w:val="117E2787"/>
    <w:rsid w:val="118C11EC"/>
    <w:rsid w:val="118C4D48"/>
    <w:rsid w:val="118D3C11"/>
    <w:rsid w:val="11A32BFD"/>
    <w:rsid w:val="11A80819"/>
    <w:rsid w:val="11A93C63"/>
    <w:rsid w:val="11AB1672"/>
    <w:rsid w:val="11B00A36"/>
    <w:rsid w:val="11B01FE6"/>
    <w:rsid w:val="11D30BC8"/>
    <w:rsid w:val="11E20E0C"/>
    <w:rsid w:val="11F272A1"/>
    <w:rsid w:val="11F8062F"/>
    <w:rsid w:val="121414D0"/>
    <w:rsid w:val="12224D50"/>
    <w:rsid w:val="122338FE"/>
    <w:rsid w:val="12241424"/>
    <w:rsid w:val="122431D2"/>
    <w:rsid w:val="1226519C"/>
    <w:rsid w:val="123B3121"/>
    <w:rsid w:val="123B7AF5"/>
    <w:rsid w:val="12483BB9"/>
    <w:rsid w:val="12535865"/>
    <w:rsid w:val="125504EC"/>
    <w:rsid w:val="125629DD"/>
    <w:rsid w:val="125F7176"/>
    <w:rsid w:val="12665599"/>
    <w:rsid w:val="126F0C93"/>
    <w:rsid w:val="12753A2E"/>
    <w:rsid w:val="12761F5D"/>
    <w:rsid w:val="12876F8B"/>
    <w:rsid w:val="12883761"/>
    <w:rsid w:val="128D0AB9"/>
    <w:rsid w:val="128D5319"/>
    <w:rsid w:val="12A10CC7"/>
    <w:rsid w:val="12A52565"/>
    <w:rsid w:val="12AA50F8"/>
    <w:rsid w:val="12B64F8D"/>
    <w:rsid w:val="12D06EB6"/>
    <w:rsid w:val="12D470F0"/>
    <w:rsid w:val="12DE15D3"/>
    <w:rsid w:val="12E02352"/>
    <w:rsid w:val="12E86732"/>
    <w:rsid w:val="12F47048"/>
    <w:rsid w:val="13051255"/>
    <w:rsid w:val="130C4227"/>
    <w:rsid w:val="1311486C"/>
    <w:rsid w:val="13175D12"/>
    <w:rsid w:val="13182D37"/>
    <w:rsid w:val="13206AB4"/>
    <w:rsid w:val="13263CF4"/>
    <w:rsid w:val="13441D7E"/>
    <w:rsid w:val="13497394"/>
    <w:rsid w:val="134D2CA1"/>
    <w:rsid w:val="13617A45"/>
    <w:rsid w:val="136A730B"/>
    <w:rsid w:val="137D5290"/>
    <w:rsid w:val="137E67E7"/>
    <w:rsid w:val="138A175B"/>
    <w:rsid w:val="1392577C"/>
    <w:rsid w:val="13963C5C"/>
    <w:rsid w:val="139A199E"/>
    <w:rsid w:val="139B5716"/>
    <w:rsid w:val="13A70C83"/>
    <w:rsid w:val="13AD7E88"/>
    <w:rsid w:val="13B14F39"/>
    <w:rsid w:val="13C407C9"/>
    <w:rsid w:val="13D50C28"/>
    <w:rsid w:val="13E040B7"/>
    <w:rsid w:val="13E96CCF"/>
    <w:rsid w:val="13F82B68"/>
    <w:rsid w:val="14025795"/>
    <w:rsid w:val="14074B59"/>
    <w:rsid w:val="140E7C96"/>
    <w:rsid w:val="14290F74"/>
    <w:rsid w:val="14294AD0"/>
    <w:rsid w:val="142B6A9A"/>
    <w:rsid w:val="143E60BA"/>
    <w:rsid w:val="144162BD"/>
    <w:rsid w:val="14467430"/>
    <w:rsid w:val="145F04F1"/>
    <w:rsid w:val="1470445D"/>
    <w:rsid w:val="148014CB"/>
    <w:rsid w:val="148E0DD7"/>
    <w:rsid w:val="14954B57"/>
    <w:rsid w:val="14A64807"/>
    <w:rsid w:val="14BB5F83"/>
    <w:rsid w:val="14C64A14"/>
    <w:rsid w:val="14E86739"/>
    <w:rsid w:val="14EE2787"/>
    <w:rsid w:val="14FE2530"/>
    <w:rsid w:val="15031585"/>
    <w:rsid w:val="15063063"/>
    <w:rsid w:val="15127621"/>
    <w:rsid w:val="151B61DF"/>
    <w:rsid w:val="15233B88"/>
    <w:rsid w:val="152C2AC9"/>
    <w:rsid w:val="153C6A85"/>
    <w:rsid w:val="15451DDD"/>
    <w:rsid w:val="154A2FFE"/>
    <w:rsid w:val="154F4A0A"/>
    <w:rsid w:val="15542020"/>
    <w:rsid w:val="15705528"/>
    <w:rsid w:val="15763CC3"/>
    <w:rsid w:val="15763D45"/>
    <w:rsid w:val="15793835"/>
    <w:rsid w:val="157A365A"/>
    <w:rsid w:val="1585667E"/>
    <w:rsid w:val="15AA1C40"/>
    <w:rsid w:val="15B12FCF"/>
    <w:rsid w:val="15B4486D"/>
    <w:rsid w:val="15C83BCD"/>
    <w:rsid w:val="15C947BC"/>
    <w:rsid w:val="15CA4090"/>
    <w:rsid w:val="15D32B61"/>
    <w:rsid w:val="15D55DE5"/>
    <w:rsid w:val="15D73DA3"/>
    <w:rsid w:val="15E96C0C"/>
    <w:rsid w:val="15FC6940"/>
    <w:rsid w:val="15FD7FC2"/>
    <w:rsid w:val="1603671A"/>
    <w:rsid w:val="16096967"/>
    <w:rsid w:val="1615355E"/>
    <w:rsid w:val="163634D4"/>
    <w:rsid w:val="164156CA"/>
    <w:rsid w:val="16596861"/>
    <w:rsid w:val="165A3666"/>
    <w:rsid w:val="165C0F09"/>
    <w:rsid w:val="16612C47"/>
    <w:rsid w:val="167D1C18"/>
    <w:rsid w:val="169C5A2D"/>
    <w:rsid w:val="16A44534"/>
    <w:rsid w:val="16B46528"/>
    <w:rsid w:val="16D57191"/>
    <w:rsid w:val="16D72096"/>
    <w:rsid w:val="170045BA"/>
    <w:rsid w:val="170A6E3A"/>
    <w:rsid w:val="171750B3"/>
    <w:rsid w:val="171C0012"/>
    <w:rsid w:val="172C1E50"/>
    <w:rsid w:val="17324FA7"/>
    <w:rsid w:val="174C7453"/>
    <w:rsid w:val="17514A69"/>
    <w:rsid w:val="176532E4"/>
    <w:rsid w:val="17671DD7"/>
    <w:rsid w:val="176A77DE"/>
    <w:rsid w:val="176B75F2"/>
    <w:rsid w:val="17727ABB"/>
    <w:rsid w:val="1776308E"/>
    <w:rsid w:val="178F35EB"/>
    <w:rsid w:val="1791130A"/>
    <w:rsid w:val="17A50FE1"/>
    <w:rsid w:val="17A74C5B"/>
    <w:rsid w:val="17AB74B7"/>
    <w:rsid w:val="17B374D2"/>
    <w:rsid w:val="17BA0860"/>
    <w:rsid w:val="17D23921"/>
    <w:rsid w:val="17D96B2F"/>
    <w:rsid w:val="17DD1BA0"/>
    <w:rsid w:val="17E54A02"/>
    <w:rsid w:val="17E56F60"/>
    <w:rsid w:val="17E57D41"/>
    <w:rsid w:val="17EC6540"/>
    <w:rsid w:val="17EE22B8"/>
    <w:rsid w:val="17FB3378"/>
    <w:rsid w:val="17FD24FB"/>
    <w:rsid w:val="17FF5486"/>
    <w:rsid w:val="18191B17"/>
    <w:rsid w:val="181D23FB"/>
    <w:rsid w:val="18253800"/>
    <w:rsid w:val="18552337"/>
    <w:rsid w:val="185760AF"/>
    <w:rsid w:val="186802BC"/>
    <w:rsid w:val="186A2DD3"/>
    <w:rsid w:val="187A2A49"/>
    <w:rsid w:val="187C5B16"/>
    <w:rsid w:val="187D188E"/>
    <w:rsid w:val="188062AC"/>
    <w:rsid w:val="188B3FAB"/>
    <w:rsid w:val="188F5243"/>
    <w:rsid w:val="18A045E2"/>
    <w:rsid w:val="18A111DD"/>
    <w:rsid w:val="18B02BBE"/>
    <w:rsid w:val="18B15690"/>
    <w:rsid w:val="18B8174E"/>
    <w:rsid w:val="18BA03EC"/>
    <w:rsid w:val="18C012EA"/>
    <w:rsid w:val="18C55B5F"/>
    <w:rsid w:val="18CE3E98"/>
    <w:rsid w:val="18D17BAD"/>
    <w:rsid w:val="18E031A7"/>
    <w:rsid w:val="18E436BB"/>
    <w:rsid w:val="18FF4051"/>
    <w:rsid w:val="190478B9"/>
    <w:rsid w:val="19080281"/>
    <w:rsid w:val="191A70DD"/>
    <w:rsid w:val="192B2A61"/>
    <w:rsid w:val="192F0DDA"/>
    <w:rsid w:val="193006AE"/>
    <w:rsid w:val="194128BC"/>
    <w:rsid w:val="19467ED2"/>
    <w:rsid w:val="194B4A95"/>
    <w:rsid w:val="194F322A"/>
    <w:rsid w:val="194F3416"/>
    <w:rsid w:val="195F2D42"/>
    <w:rsid w:val="196500F9"/>
    <w:rsid w:val="19882298"/>
    <w:rsid w:val="198C7FDB"/>
    <w:rsid w:val="19924EC5"/>
    <w:rsid w:val="199B6470"/>
    <w:rsid w:val="19B65058"/>
    <w:rsid w:val="19EA6AAF"/>
    <w:rsid w:val="19EB2548"/>
    <w:rsid w:val="19F16090"/>
    <w:rsid w:val="1A023DF9"/>
    <w:rsid w:val="1A0A093F"/>
    <w:rsid w:val="1A1D65BF"/>
    <w:rsid w:val="1A255D39"/>
    <w:rsid w:val="1A2C70C8"/>
    <w:rsid w:val="1A383CBF"/>
    <w:rsid w:val="1A3A17E5"/>
    <w:rsid w:val="1A3D12D5"/>
    <w:rsid w:val="1A424B3D"/>
    <w:rsid w:val="1A497C7A"/>
    <w:rsid w:val="1A4F7069"/>
    <w:rsid w:val="1A5F28A8"/>
    <w:rsid w:val="1A681B58"/>
    <w:rsid w:val="1A7D38A9"/>
    <w:rsid w:val="1A89276C"/>
    <w:rsid w:val="1A89451A"/>
    <w:rsid w:val="1AAB4490"/>
    <w:rsid w:val="1AAD645B"/>
    <w:rsid w:val="1ACD1B06"/>
    <w:rsid w:val="1AE6196C"/>
    <w:rsid w:val="1AED2CFB"/>
    <w:rsid w:val="1B040045"/>
    <w:rsid w:val="1B19589E"/>
    <w:rsid w:val="1B1A33C4"/>
    <w:rsid w:val="1B1C0EEA"/>
    <w:rsid w:val="1B216501"/>
    <w:rsid w:val="1B285AE1"/>
    <w:rsid w:val="1B297880"/>
    <w:rsid w:val="1B2D1349"/>
    <w:rsid w:val="1B397CEE"/>
    <w:rsid w:val="1B4B7A22"/>
    <w:rsid w:val="1B520DB0"/>
    <w:rsid w:val="1B5543FC"/>
    <w:rsid w:val="1B5E7755"/>
    <w:rsid w:val="1B617245"/>
    <w:rsid w:val="1B6C60DA"/>
    <w:rsid w:val="1B860A5A"/>
    <w:rsid w:val="1B965141"/>
    <w:rsid w:val="1B9E646A"/>
    <w:rsid w:val="1BB03B3E"/>
    <w:rsid w:val="1BD25A4D"/>
    <w:rsid w:val="1BDC68CC"/>
    <w:rsid w:val="1BEE6D2B"/>
    <w:rsid w:val="1BF038C8"/>
    <w:rsid w:val="1C024584"/>
    <w:rsid w:val="1C0A51E7"/>
    <w:rsid w:val="1C0F6CA1"/>
    <w:rsid w:val="1C1A7418"/>
    <w:rsid w:val="1C1C4F1A"/>
    <w:rsid w:val="1C2A5889"/>
    <w:rsid w:val="1C2C1601"/>
    <w:rsid w:val="1C467385"/>
    <w:rsid w:val="1C4C57FF"/>
    <w:rsid w:val="1C5648D0"/>
    <w:rsid w:val="1C71170A"/>
    <w:rsid w:val="1C7C43BA"/>
    <w:rsid w:val="1C850D11"/>
    <w:rsid w:val="1C9176B6"/>
    <w:rsid w:val="1C964CCC"/>
    <w:rsid w:val="1CA05134"/>
    <w:rsid w:val="1CB57848"/>
    <w:rsid w:val="1CCE26B8"/>
    <w:rsid w:val="1CCF5F4C"/>
    <w:rsid w:val="1CD967ED"/>
    <w:rsid w:val="1CDE68ED"/>
    <w:rsid w:val="1CE81DFC"/>
    <w:rsid w:val="1CE95744"/>
    <w:rsid w:val="1CF1208B"/>
    <w:rsid w:val="1CFA525B"/>
    <w:rsid w:val="1D0A0015"/>
    <w:rsid w:val="1D1B4B41"/>
    <w:rsid w:val="1D2545A0"/>
    <w:rsid w:val="1D28001A"/>
    <w:rsid w:val="1D37200B"/>
    <w:rsid w:val="1D423BFA"/>
    <w:rsid w:val="1D4604A0"/>
    <w:rsid w:val="1D484219"/>
    <w:rsid w:val="1D4A2936"/>
    <w:rsid w:val="1D4B7C70"/>
    <w:rsid w:val="1D507D79"/>
    <w:rsid w:val="1D552DD9"/>
    <w:rsid w:val="1D5A03F0"/>
    <w:rsid w:val="1D753E6C"/>
    <w:rsid w:val="1D761B9E"/>
    <w:rsid w:val="1D835251"/>
    <w:rsid w:val="1D8A2A83"/>
    <w:rsid w:val="1D994A74"/>
    <w:rsid w:val="1DA929A7"/>
    <w:rsid w:val="1DAE7EBF"/>
    <w:rsid w:val="1DBA6010"/>
    <w:rsid w:val="1DBD168C"/>
    <w:rsid w:val="1DDD4649"/>
    <w:rsid w:val="1DDE2DCF"/>
    <w:rsid w:val="1DFA63AE"/>
    <w:rsid w:val="1DFD1A31"/>
    <w:rsid w:val="1E0C793C"/>
    <w:rsid w:val="1E0F2F88"/>
    <w:rsid w:val="1E1D4CB7"/>
    <w:rsid w:val="1E2A1B70"/>
    <w:rsid w:val="1E2D15D1"/>
    <w:rsid w:val="1E3B3D7D"/>
    <w:rsid w:val="1E3E561C"/>
    <w:rsid w:val="1E426EBA"/>
    <w:rsid w:val="1E4569AA"/>
    <w:rsid w:val="1E480248"/>
    <w:rsid w:val="1E503619"/>
    <w:rsid w:val="1E53644F"/>
    <w:rsid w:val="1EA336D1"/>
    <w:rsid w:val="1EAA2CB1"/>
    <w:rsid w:val="1EAB165C"/>
    <w:rsid w:val="1EB47392"/>
    <w:rsid w:val="1EBA1146"/>
    <w:rsid w:val="1EBA2EF4"/>
    <w:rsid w:val="1EC51899"/>
    <w:rsid w:val="1ED02718"/>
    <w:rsid w:val="1ED67C62"/>
    <w:rsid w:val="1EDD3086"/>
    <w:rsid w:val="1EDD6BE3"/>
    <w:rsid w:val="1EE6018D"/>
    <w:rsid w:val="1F035EAB"/>
    <w:rsid w:val="1F0C74C8"/>
    <w:rsid w:val="1F120F82"/>
    <w:rsid w:val="1F15637C"/>
    <w:rsid w:val="1F1D16D5"/>
    <w:rsid w:val="1F432371"/>
    <w:rsid w:val="1F4D1FBA"/>
    <w:rsid w:val="1F536EA5"/>
    <w:rsid w:val="1F5570C1"/>
    <w:rsid w:val="1F576995"/>
    <w:rsid w:val="1F7A6B27"/>
    <w:rsid w:val="1F903C55"/>
    <w:rsid w:val="1F941997"/>
    <w:rsid w:val="1F953EE7"/>
    <w:rsid w:val="1F9B1C69"/>
    <w:rsid w:val="1FA12306"/>
    <w:rsid w:val="1FA37E2C"/>
    <w:rsid w:val="1FAB4F33"/>
    <w:rsid w:val="1FAD1142"/>
    <w:rsid w:val="1FC3402A"/>
    <w:rsid w:val="1FD004F5"/>
    <w:rsid w:val="1FD44489"/>
    <w:rsid w:val="1FDA1374"/>
    <w:rsid w:val="201523AC"/>
    <w:rsid w:val="20230F6D"/>
    <w:rsid w:val="20270A5D"/>
    <w:rsid w:val="20340A84"/>
    <w:rsid w:val="203A77B8"/>
    <w:rsid w:val="204A462B"/>
    <w:rsid w:val="204D1B46"/>
    <w:rsid w:val="205253AE"/>
    <w:rsid w:val="20541126"/>
    <w:rsid w:val="205855D3"/>
    <w:rsid w:val="20621A95"/>
    <w:rsid w:val="207013B3"/>
    <w:rsid w:val="207215AC"/>
    <w:rsid w:val="207672EF"/>
    <w:rsid w:val="207E225C"/>
    <w:rsid w:val="208A4B48"/>
    <w:rsid w:val="20937EA1"/>
    <w:rsid w:val="20A53730"/>
    <w:rsid w:val="20B503F9"/>
    <w:rsid w:val="20B6593D"/>
    <w:rsid w:val="20BF7883"/>
    <w:rsid w:val="20C626AD"/>
    <w:rsid w:val="20D52267"/>
    <w:rsid w:val="20D77EB9"/>
    <w:rsid w:val="20DA0F73"/>
    <w:rsid w:val="20E17D82"/>
    <w:rsid w:val="20F841A8"/>
    <w:rsid w:val="211F1DE5"/>
    <w:rsid w:val="213E39C6"/>
    <w:rsid w:val="21415B46"/>
    <w:rsid w:val="21425423"/>
    <w:rsid w:val="214271D1"/>
    <w:rsid w:val="2144119B"/>
    <w:rsid w:val="214473ED"/>
    <w:rsid w:val="21494A03"/>
    <w:rsid w:val="214E1138"/>
    <w:rsid w:val="215779C0"/>
    <w:rsid w:val="2164183D"/>
    <w:rsid w:val="21666CBC"/>
    <w:rsid w:val="217355DC"/>
    <w:rsid w:val="21780E44"/>
    <w:rsid w:val="217961F5"/>
    <w:rsid w:val="21893052"/>
    <w:rsid w:val="21933ED0"/>
    <w:rsid w:val="21A1039B"/>
    <w:rsid w:val="21BC13EC"/>
    <w:rsid w:val="21C978F2"/>
    <w:rsid w:val="21DC7625"/>
    <w:rsid w:val="21ED3D22"/>
    <w:rsid w:val="21F04E7F"/>
    <w:rsid w:val="21F75B03"/>
    <w:rsid w:val="220D3C83"/>
    <w:rsid w:val="22100919"/>
    <w:rsid w:val="22105521"/>
    <w:rsid w:val="2212736A"/>
    <w:rsid w:val="224551CB"/>
    <w:rsid w:val="224F6049"/>
    <w:rsid w:val="22511DC1"/>
    <w:rsid w:val="227F7259"/>
    <w:rsid w:val="22806203"/>
    <w:rsid w:val="22812984"/>
    <w:rsid w:val="22883309"/>
    <w:rsid w:val="229121BE"/>
    <w:rsid w:val="22925F36"/>
    <w:rsid w:val="229B303C"/>
    <w:rsid w:val="229E2B2D"/>
    <w:rsid w:val="22C77C89"/>
    <w:rsid w:val="22DD18A7"/>
    <w:rsid w:val="22EC3898"/>
    <w:rsid w:val="230E1A60"/>
    <w:rsid w:val="23157720"/>
    <w:rsid w:val="2322375E"/>
    <w:rsid w:val="233174FD"/>
    <w:rsid w:val="23384D2F"/>
    <w:rsid w:val="23496F3C"/>
    <w:rsid w:val="235D6544"/>
    <w:rsid w:val="236130DB"/>
    <w:rsid w:val="23627FFE"/>
    <w:rsid w:val="2383244E"/>
    <w:rsid w:val="23874E71"/>
    <w:rsid w:val="238B1303"/>
    <w:rsid w:val="23952182"/>
    <w:rsid w:val="239F090A"/>
    <w:rsid w:val="23B63AE6"/>
    <w:rsid w:val="23D5257E"/>
    <w:rsid w:val="23DA6AE5"/>
    <w:rsid w:val="23E9147D"/>
    <w:rsid w:val="23F01166"/>
    <w:rsid w:val="240B2444"/>
    <w:rsid w:val="24140A1B"/>
    <w:rsid w:val="24141470"/>
    <w:rsid w:val="24153464"/>
    <w:rsid w:val="24194B61"/>
    <w:rsid w:val="241F170A"/>
    <w:rsid w:val="242E16E8"/>
    <w:rsid w:val="2430046E"/>
    <w:rsid w:val="243948BB"/>
    <w:rsid w:val="24463799"/>
    <w:rsid w:val="245340EB"/>
    <w:rsid w:val="24612064"/>
    <w:rsid w:val="24882976"/>
    <w:rsid w:val="249935AC"/>
    <w:rsid w:val="24A501A2"/>
    <w:rsid w:val="24BC54EC"/>
    <w:rsid w:val="24E557C0"/>
    <w:rsid w:val="24E76A0D"/>
    <w:rsid w:val="24ED56A6"/>
    <w:rsid w:val="24FC40EF"/>
    <w:rsid w:val="24FE21EF"/>
    <w:rsid w:val="250848CE"/>
    <w:rsid w:val="25143590"/>
    <w:rsid w:val="252C08C4"/>
    <w:rsid w:val="253201D9"/>
    <w:rsid w:val="253B4663"/>
    <w:rsid w:val="2547125A"/>
    <w:rsid w:val="254A5A35"/>
    <w:rsid w:val="254C061E"/>
    <w:rsid w:val="255C215A"/>
    <w:rsid w:val="255D282B"/>
    <w:rsid w:val="256F4FB0"/>
    <w:rsid w:val="25762D51"/>
    <w:rsid w:val="2592441B"/>
    <w:rsid w:val="25987D07"/>
    <w:rsid w:val="259D0E7A"/>
    <w:rsid w:val="25A93CC2"/>
    <w:rsid w:val="25AC595B"/>
    <w:rsid w:val="25AD37B3"/>
    <w:rsid w:val="25BC1C48"/>
    <w:rsid w:val="25D845A8"/>
    <w:rsid w:val="25DB3C35"/>
    <w:rsid w:val="25E048D2"/>
    <w:rsid w:val="25E70E85"/>
    <w:rsid w:val="25F413E1"/>
    <w:rsid w:val="25F807A6"/>
    <w:rsid w:val="26084E8D"/>
    <w:rsid w:val="260B2287"/>
    <w:rsid w:val="262B0B7B"/>
    <w:rsid w:val="263712CE"/>
    <w:rsid w:val="26385E8A"/>
    <w:rsid w:val="264149ED"/>
    <w:rsid w:val="26454028"/>
    <w:rsid w:val="26463E50"/>
    <w:rsid w:val="26541E80"/>
    <w:rsid w:val="26560D11"/>
    <w:rsid w:val="26622FB7"/>
    <w:rsid w:val="26677513"/>
    <w:rsid w:val="26764F27"/>
    <w:rsid w:val="26773DC1"/>
    <w:rsid w:val="2681079B"/>
    <w:rsid w:val="2685028B"/>
    <w:rsid w:val="268C5772"/>
    <w:rsid w:val="269E134D"/>
    <w:rsid w:val="26AA1A7C"/>
    <w:rsid w:val="26AD77E2"/>
    <w:rsid w:val="26C50688"/>
    <w:rsid w:val="26DE6F50"/>
    <w:rsid w:val="26FD52D9"/>
    <w:rsid w:val="27005B64"/>
    <w:rsid w:val="27055D7F"/>
    <w:rsid w:val="272F6449"/>
    <w:rsid w:val="274A2671"/>
    <w:rsid w:val="274A3283"/>
    <w:rsid w:val="27507C1B"/>
    <w:rsid w:val="27524A69"/>
    <w:rsid w:val="27547C5E"/>
    <w:rsid w:val="27554102"/>
    <w:rsid w:val="27602AA7"/>
    <w:rsid w:val="276854B7"/>
    <w:rsid w:val="276E0D20"/>
    <w:rsid w:val="27706DA7"/>
    <w:rsid w:val="27AC075C"/>
    <w:rsid w:val="27BC6441"/>
    <w:rsid w:val="27BD1A6F"/>
    <w:rsid w:val="27BF5A1F"/>
    <w:rsid w:val="27CC2BDC"/>
    <w:rsid w:val="27D95C79"/>
    <w:rsid w:val="27DB3589"/>
    <w:rsid w:val="27E40FE2"/>
    <w:rsid w:val="27F66DD4"/>
    <w:rsid w:val="2802590C"/>
    <w:rsid w:val="28074CD0"/>
    <w:rsid w:val="281806F1"/>
    <w:rsid w:val="283C47A1"/>
    <w:rsid w:val="283D6A99"/>
    <w:rsid w:val="28402DF5"/>
    <w:rsid w:val="28584889"/>
    <w:rsid w:val="286A598B"/>
    <w:rsid w:val="286D27B9"/>
    <w:rsid w:val="28724840"/>
    <w:rsid w:val="28761753"/>
    <w:rsid w:val="2876586F"/>
    <w:rsid w:val="287E31E4"/>
    <w:rsid w:val="288051AE"/>
    <w:rsid w:val="288C3296"/>
    <w:rsid w:val="28942A08"/>
    <w:rsid w:val="289A5B44"/>
    <w:rsid w:val="289F5AF5"/>
    <w:rsid w:val="28A041D2"/>
    <w:rsid w:val="28A54C15"/>
    <w:rsid w:val="28C606E7"/>
    <w:rsid w:val="28CD5F1A"/>
    <w:rsid w:val="28CF4E13"/>
    <w:rsid w:val="28D56B7C"/>
    <w:rsid w:val="28D948BF"/>
    <w:rsid w:val="28E978C7"/>
    <w:rsid w:val="28F17E5A"/>
    <w:rsid w:val="2900009D"/>
    <w:rsid w:val="2910005E"/>
    <w:rsid w:val="29121B7F"/>
    <w:rsid w:val="291B0A33"/>
    <w:rsid w:val="291D29FD"/>
    <w:rsid w:val="2920429C"/>
    <w:rsid w:val="292F2731"/>
    <w:rsid w:val="2932067B"/>
    <w:rsid w:val="29542197"/>
    <w:rsid w:val="29543F45"/>
    <w:rsid w:val="29787C34"/>
    <w:rsid w:val="298011DE"/>
    <w:rsid w:val="299371BA"/>
    <w:rsid w:val="299B4074"/>
    <w:rsid w:val="299D5306"/>
    <w:rsid w:val="29A504DF"/>
    <w:rsid w:val="29AE6BF1"/>
    <w:rsid w:val="29AF68C1"/>
    <w:rsid w:val="29BB3FC4"/>
    <w:rsid w:val="29C16846"/>
    <w:rsid w:val="29E70690"/>
    <w:rsid w:val="29E96D83"/>
    <w:rsid w:val="29F179E6"/>
    <w:rsid w:val="29F37C02"/>
    <w:rsid w:val="29FF65A7"/>
    <w:rsid w:val="2A241B69"/>
    <w:rsid w:val="2A326424"/>
    <w:rsid w:val="2A351FC9"/>
    <w:rsid w:val="2A3C6EB3"/>
    <w:rsid w:val="2A5F0DF4"/>
    <w:rsid w:val="2A7D1D2D"/>
    <w:rsid w:val="2A9226E6"/>
    <w:rsid w:val="2A9D7742"/>
    <w:rsid w:val="2AA44A58"/>
    <w:rsid w:val="2AAA6513"/>
    <w:rsid w:val="2AAE625E"/>
    <w:rsid w:val="2AB7478C"/>
    <w:rsid w:val="2AB90504"/>
    <w:rsid w:val="2AC5334C"/>
    <w:rsid w:val="2AC62C21"/>
    <w:rsid w:val="2AD6555A"/>
    <w:rsid w:val="2AD76BDC"/>
    <w:rsid w:val="2AE15CAC"/>
    <w:rsid w:val="2AE35581"/>
    <w:rsid w:val="2AF53506"/>
    <w:rsid w:val="2B051220"/>
    <w:rsid w:val="2B1020EE"/>
    <w:rsid w:val="2B2C33CC"/>
    <w:rsid w:val="2B361B54"/>
    <w:rsid w:val="2B4C4782"/>
    <w:rsid w:val="2B5E10AB"/>
    <w:rsid w:val="2B5E7DA4"/>
    <w:rsid w:val="2B726905"/>
    <w:rsid w:val="2B74267D"/>
    <w:rsid w:val="2B960845"/>
    <w:rsid w:val="2BAE2033"/>
    <w:rsid w:val="2BC26BE9"/>
    <w:rsid w:val="2BC47C4A"/>
    <w:rsid w:val="2BC929C8"/>
    <w:rsid w:val="2BCC070B"/>
    <w:rsid w:val="2BD001FB"/>
    <w:rsid w:val="2BEC169E"/>
    <w:rsid w:val="2BFF4730"/>
    <w:rsid w:val="2C0B5689"/>
    <w:rsid w:val="2C22657D"/>
    <w:rsid w:val="2C416A03"/>
    <w:rsid w:val="2C46226B"/>
    <w:rsid w:val="2C4D3F24"/>
    <w:rsid w:val="2C4E7F91"/>
    <w:rsid w:val="2C613836"/>
    <w:rsid w:val="2C6D3C9C"/>
    <w:rsid w:val="2C905043"/>
    <w:rsid w:val="2C9876B9"/>
    <w:rsid w:val="2CB2345D"/>
    <w:rsid w:val="2CBF3DCB"/>
    <w:rsid w:val="2CD05FD9"/>
    <w:rsid w:val="2CD4576F"/>
    <w:rsid w:val="2CD74B1F"/>
    <w:rsid w:val="2CE04D3C"/>
    <w:rsid w:val="2CE848EE"/>
    <w:rsid w:val="2CED6B8B"/>
    <w:rsid w:val="2D102669"/>
    <w:rsid w:val="2D1063D5"/>
    <w:rsid w:val="2D12214D"/>
    <w:rsid w:val="2D263E4A"/>
    <w:rsid w:val="2D297497"/>
    <w:rsid w:val="2D4B565F"/>
    <w:rsid w:val="2D524C40"/>
    <w:rsid w:val="2D540198"/>
    <w:rsid w:val="2D5B1D46"/>
    <w:rsid w:val="2D604745"/>
    <w:rsid w:val="2D687FBF"/>
    <w:rsid w:val="2D727090"/>
    <w:rsid w:val="2D9139BA"/>
    <w:rsid w:val="2DA134D1"/>
    <w:rsid w:val="2DAC07F4"/>
    <w:rsid w:val="2DC53BCE"/>
    <w:rsid w:val="2DD90EBD"/>
    <w:rsid w:val="2DDF2977"/>
    <w:rsid w:val="2DE51610"/>
    <w:rsid w:val="2DF45EAB"/>
    <w:rsid w:val="2E011A29"/>
    <w:rsid w:val="2E0C3040"/>
    <w:rsid w:val="2E110657"/>
    <w:rsid w:val="2E393461"/>
    <w:rsid w:val="2E3B1302"/>
    <w:rsid w:val="2E546325"/>
    <w:rsid w:val="2E5549E7"/>
    <w:rsid w:val="2E555FE9"/>
    <w:rsid w:val="2E6764C9"/>
    <w:rsid w:val="2E692241"/>
    <w:rsid w:val="2E813A2E"/>
    <w:rsid w:val="2E862DF3"/>
    <w:rsid w:val="2E8D23D3"/>
    <w:rsid w:val="2E8E7EF9"/>
    <w:rsid w:val="2E994780"/>
    <w:rsid w:val="2EAD65D1"/>
    <w:rsid w:val="2EDE49DD"/>
    <w:rsid w:val="2EE61FCD"/>
    <w:rsid w:val="2EED4C20"/>
    <w:rsid w:val="2EF26ADB"/>
    <w:rsid w:val="2EF45D33"/>
    <w:rsid w:val="2EFC6A22"/>
    <w:rsid w:val="2EFE507F"/>
    <w:rsid w:val="2EFF4953"/>
    <w:rsid w:val="2F013C21"/>
    <w:rsid w:val="2F0247C0"/>
    <w:rsid w:val="2F031C30"/>
    <w:rsid w:val="2F0E4A59"/>
    <w:rsid w:val="2F204FF5"/>
    <w:rsid w:val="2F2730EA"/>
    <w:rsid w:val="2F371186"/>
    <w:rsid w:val="2F3A3BDD"/>
    <w:rsid w:val="2F4522AF"/>
    <w:rsid w:val="2F601055"/>
    <w:rsid w:val="2F650C5A"/>
    <w:rsid w:val="2F6746C3"/>
    <w:rsid w:val="2F745341"/>
    <w:rsid w:val="2F7E3AF9"/>
    <w:rsid w:val="2F874408"/>
    <w:rsid w:val="2F8C4439"/>
    <w:rsid w:val="2F965A20"/>
    <w:rsid w:val="2F9A5F52"/>
    <w:rsid w:val="2F9F4F5B"/>
    <w:rsid w:val="2FA71273"/>
    <w:rsid w:val="2FB219C5"/>
    <w:rsid w:val="2FB716BC"/>
    <w:rsid w:val="2FBC2844"/>
    <w:rsid w:val="2FC32F68"/>
    <w:rsid w:val="2FC85D49"/>
    <w:rsid w:val="2FC8743B"/>
    <w:rsid w:val="2FCC6F2B"/>
    <w:rsid w:val="2FCE2CA3"/>
    <w:rsid w:val="2FD26A50"/>
    <w:rsid w:val="2FE73D65"/>
    <w:rsid w:val="2FE870A3"/>
    <w:rsid w:val="2FEA73B1"/>
    <w:rsid w:val="2FFF10AF"/>
    <w:rsid w:val="30000983"/>
    <w:rsid w:val="3005243D"/>
    <w:rsid w:val="30054CD6"/>
    <w:rsid w:val="300C557A"/>
    <w:rsid w:val="301B3A0F"/>
    <w:rsid w:val="3030340C"/>
    <w:rsid w:val="30406FD1"/>
    <w:rsid w:val="304765B2"/>
    <w:rsid w:val="30515682"/>
    <w:rsid w:val="305807BF"/>
    <w:rsid w:val="306F78B6"/>
    <w:rsid w:val="307275A5"/>
    <w:rsid w:val="30790154"/>
    <w:rsid w:val="307D1FD3"/>
    <w:rsid w:val="309D65F0"/>
    <w:rsid w:val="30A13F14"/>
    <w:rsid w:val="30C95219"/>
    <w:rsid w:val="30D95414"/>
    <w:rsid w:val="30E20088"/>
    <w:rsid w:val="30E262DA"/>
    <w:rsid w:val="30EF0D7B"/>
    <w:rsid w:val="3103697D"/>
    <w:rsid w:val="31046251"/>
    <w:rsid w:val="31091BCD"/>
    <w:rsid w:val="31174F81"/>
    <w:rsid w:val="31200CA6"/>
    <w:rsid w:val="312A0C57"/>
    <w:rsid w:val="312C0D1D"/>
    <w:rsid w:val="313474AF"/>
    <w:rsid w:val="3140197F"/>
    <w:rsid w:val="31496359"/>
    <w:rsid w:val="315216B2"/>
    <w:rsid w:val="31701B38"/>
    <w:rsid w:val="31762116"/>
    <w:rsid w:val="31A6555A"/>
    <w:rsid w:val="31AE17E2"/>
    <w:rsid w:val="31B16FC5"/>
    <w:rsid w:val="31B274B4"/>
    <w:rsid w:val="31B732C3"/>
    <w:rsid w:val="31B935FE"/>
    <w:rsid w:val="31BB1708"/>
    <w:rsid w:val="31C00377"/>
    <w:rsid w:val="31DD71CE"/>
    <w:rsid w:val="31DE3900"/>
    <w:rsid w:val="31E06CBE"/>
    <w:rsid w:val="31F14A27"/>
    <w:rsid w:val="31F664E1"/>
    <w:rsid w:val="3207554F"/>
    <w:rsid w:val="32140715"/>
    <w:rsid w:val="32144BB9"/>
    <w:rsid w:val="322A7F39"/>
    <w:rsid w:val="322C1F03"/>
    <w:rsid w:val="32382656"/>
    <w:rsid w:val="32384404"/>
    <w:rsid w:val="32427A6B"/>
    <w:rsid w:val="324E1E79"/>
    <w:rsid w:val="325B2EC3"/>
    <w:rsid w:val="325D030E"/>
    <w:rsid w:val="32656230"/>
    <w:rsid w:val="326A2A2B"/>
    <w:rsid w:val="326D2E9C"/>
    <w:rsid w:val="32717916"/>
    <w:rsid w:val="32737B32"/>
    <w:rsid w:val="327E4372"/>
    <w:rsid w:val="32810490"/>
    <w:rsid w:val="32833BA7"/>
    <w:rsid w:val="328B5243"/>
    <w:rsid w:val="329A04B9"/>
    <w:rsid w:val="329D4BAF"/>
    <w:rsid w:val="32C71C2C"/>
    <w:rsid w:val="32CC2D9E"/>
    <w:rsid w:val="32DF0D23"/>
    <w:rsid w:val="32DF36FA"/>
    <w:rsid w:val="32E14A9C"/>
    <w:rsid w:val="32E60304"/>
    <w:rsid w:val="33064502"/>
    <w:rsid w:val="33244988"/>
    <w:rsid w:val="333A0650"/>
    <w:rsid w:val="33482D6D"/>
    <w:rsid w:val="334868C9"/>
    <w:rsid w:val="334B460B"/>
    <w:rsid w:val="3350577D"/>
    <w:rsid w:val="33551E96"/>
    <w:rsid w:val="336254B1"/>
    <w:rsid w:val="336C7BA4"/>
    <w:rsid w:val="337376BE"/>
    <w:rsid w:val="33745910"/>
    <w:rsid w:val="33770F5C"/>
    <w:rsid w:val="337F7BF3"/>
    <w:rsid w:val="338418CB"/>
    <w:rsid w:val="33897AC9"/>
    <w:rsid w:val="33BB7FDE"/>
    <w:rsid w:val="33CC5D95"/>
    <w:rsid w:val="33D04B10"/>
    <w:rsid w:val="33D26ADA"/>
    <w:rsid w:val="33D4015C"/>
    <w:rsid w:val="33EC7B9C"/>
    <w:rsid w:val="33EF143A"/>
    <w:rsid w:val="33F24A86"/>
    <w:rsid w:val="33FE167D"/>
    <w:rsid w:val="34037E19"/>
    <w:rsid w:val="340E3279"/>
    <w:rsid w:val="34117602"/>
    <w:rsid w:val="343155AF"/>
    <w:rsid w:val="3431735D"/>
    <w:rsid w:val="3460040C"/>
    <w:rsid w:val="34687967"/>
    <w:rsid w:val="34700D72"/>
    <w:rsid w:val="347A6661"/>
    <w:rsid w:val="349D2C44"/>
    <w:rsid w:val="34AC732B"/>
    <w:rsid w:val="34B1337D"/>
    <w:rsid w:val="34D67F04"/>
    <w:rsid w:val="34DF14AF"/>
    <w:rsid w:val="34EB5C5E"/>
    <w:rsid w:val="34FC3E0F"/>
    <w:rsid w:val="35064D89"/>
    <w:rsid w:val="350902DA"/>
    <w:rsid w:val="351318EE"/>
    <w:rsid w:val="3529272A"/>
    <w:rsid w:val="35357321"/>
    <w:rsid w:val="3550415A"/>
    <w:rsid w:val="355552CD"/>
    <w:rsid w:val="35635C3C"/>
    <w:rsid w:val="3572515A"/>
    <w:rsid w:val="35736530"/>
    <w:rsid w:val="35767DBB"/>
    <w:rsid w:val="357D65D2"/>
    <w:rsid w:val="35843E04"/>
    <w:rsid w:val="358B0CEF"/>
    <w:rsid w:val="358D781E"/>
    <w:rsid w:val="35951B6D"/>
    <w:rsid w:val="35A574D0"/>
    <w:rsid w:val="35A61FCC"/>
    <w:rsid w:val="35AD5109"/>
    <w:rsid w:val="35B00755"/>
    <w:rsid w:val="35BF34C7"/>
    <w:rsid w:val="35D26A5B"/>
    <w:rsid w:val="35E548A3"/>
    <w:rsid w:val="35F5085E"/>
    <w:rsid w:val="35FC399A"/>
    <w:rsid w:val="35FD35D7"/>
    <w:rsid w:val="36010FB1"/>
    <w:rsid w:val="360311CD"/>
    <w:rsid w:val="360B1E2F"/>
    <w:rsid w:val="36121410"/>
    <w:rsid w:val="361C228F"/>
    <w:rsid w:val="361E7DB5"/>
    <w:rsid w:val="36257395"/>
    <w:rsid w:val="36486AA3"/>
    <w:rsid w:val="364B12DB"/>
    <w:rsid w:val="3656156E"/>
    <w:rsid w:val="366B59FA"/>
    <w:rsid w:val="366D22D5"/>
    <w:rsid w:val="3679148F"/>
    <w:rsid w:val="36833607"/>
    <w:rsid w:val="36883480"/>
    <w:rsid w:val="36B81FB7"/>
    <w:rsid w:val="36BF32BE"/>
    <w:rsid w:val="36CD6D52"/>
    <w:rsid w:val="36E96615"/>
    <w:rsid w:val="36F54FB9"/>
    <w:rsid w:val="36FC068F"/>
    <w:rsid w:val="370C2303"/>
    <w:rsid w:val="37135440"/>
    <w:rsid w:val="3715740A"/>
    <w:rsid w:val="371F3DE4"/>
    <w:rsid w:val="372A4537"/>
    <w:rsid w:val="37335AE2"/>
    <w:rsid w:val="373A6E70"/>
    <w:rsid w:val="37476E97"/>
    <w:rsid w:val="37503F9E"/>
    <w:rsid w:val="375810A4"/>
    <w:rsid w:val="376C68FE"/>
    <w:rsid w:val="3770107D"/>
    <w:rsid w:val="377309D7"/>
    <w:rsid w:val="37757EA8"/>
    <w:rsid w:val="378B60F6"/>
    <w:rsid w:val="37930204"/>
    <w:rsid w:val="379D2F5B"/>
    <w:rsid w:val="37A34A15"/>
    <w:rsid w:val="37B07132"/>
    <w:rsid w:val="37B15F36"/>
    <w:rsid w:val="37D366CE"/>
    <w:rsid w:val="37EF3553"/>
    <w:rsid w:val="37F53162"/>
    <w:rsid w:val="37F54B45"/>
    <w:rsid w:val="3801173C"/>
    <w:rsid w:val="380F3E59"/>
    <w:rsid w:val="38207E14"/>
    <w:rsid w:val="38241F15"/>
    <w:rsid w:val="38481119"/>
    <w:rsid w:val="3850270B"/>
    <w:rsid w:val="385B52F0"/>
    <w:rsid w:val="385C6972"/>
    <w:rsid w:val="387C0BB8"/>
    <w:rsid w:val="387E0FDF"/>
    <w:rsid w:val="38855EC9"/>
    <w:rsid w:val="3886685E"/>
    <w:rsid w:val="38883C0B"/>
    <w:rsid w:val="38961E84"/>
    <w:rsid w:val="389B56ED"/>
    <w:rsid w:val="389C3213"/>
    <w:rsid w:val="38A327F3"/>
    <w:rsid w:val="38A37DA5"/>
    <w:rsid w:val="38A607E2"/>
    <w:rsid w:val="38B458C5"/>
    <w:rsid w:val="38C85BE3"/>
    <w:rsid w:val="38CC1D4A"/>
    <w:rsid w:val="38DF7CCF"/>
    <w:rsid w:val="38E86458"/>
    <w:rsid w:val="39074B30"/>
    <w:rsid w:val="391334D5"/>
    <w:rsid w:val="391C5D2C"/>
    <w:rsid w:val="392C0A3B"/>
    <w:rsid w:val="39355B41"/>
    <w:rsid w:val="39395ED4"/>
    <w:rsid w:val="393D0552"/>
    <w:rsid w:val="393D727C"/>
    <w:rsid w:val="394177DD"/>
    <w:rsid w:val="395B30CE"/>
    <w:rsid w:val="396F7738"/>
    <w:rsid w:val="397523E2"/>
    <w:rsid w:val="397B1D88"/>
    <w:rsid w:val="39930ABA"/>
    <w:rsid w:val="39A20CFD"/>
    <w:rsid w:val="39A60AF6"/>
    <w:rsid w:val="39B27192"/>
    <w:rsid w:val="39C42A21"/>
    <w:rsid w:val="39C46EC5"/>
    <w:rsid w:val="39E430C3"/>
    <w:rsid w:val="39F5707E"/>
    <w:rsid w:val="3A00587C"/>
    <w:rsid w:val="3A055453"/>
    <w:rsid w:val="3A0F7273"/>
    <w:rsid w:val="3A175247"/>
    <w:rsid w:val="3A25583C"/>
    <w:rsid w:val="3A3D6A46"/>
    <w:rsid w:val="3A802587"/>
    <w:rsid w:val="3A855BB5"/>
    <w:rsid w:val="3A8647E4"/>
    <w:rsid w:val="3A8A3C6B"/>
    <w:rsid w:val="3A916DA7"/>
    <w:rsid w:val="3A9A4086"/>
    <w:rsid w:val="3AAF36D1"/>
    <w:rsid w:val="3AB05D4C"/>
    <w:rsid w:val="3AC21656"/>
    <w:rsid w:val="3AC342F5"/>
    <w:rsid w:val="3AD15AFF"/>
    <w:rsid w:val="3AD62A0C"/>
    <w:rsid w:val="3AD849D6"/>
    <w:rsid w:val="3ADE7B13"/>
    <w:rsid w:val="3ADF0D1D"/>
    <w:rsid w:val="3AE37060"/>
    <w:rsid w:val="3AE570F3"/>
    <w:rsid w:val="3AEB77F5"/>
    <w:rsid w:val="3AFE464D"/>
    <w:rsid w:val="3B0C4680"/>
    <w:rsid w:val="3B147F40"/>
    <w:rsid w:val="3B21639F"/>
    <w:rsid w:val="3B255741"/>
    <w:rsid w:val="3B3E6803"/>
    <w:rsid w:val="3B3F4A55"/>
    <w:rsid w:val="3B514788"/>
    <w:rsid w:val="3B5711EE"/>
    <w:rsid w:val="3B6B3A9C"/>
    <w:rsid w:val="3B6C511E"/>
    <w:rsid w:val="3B712735"/>
    <w:rsid w:val="3B762441"/>
    <w:rsid w:val="3B84690C"/>
    <w:rsid w:val="3B9C1EA7"/>
    <w:rsid w:val="3BA50630"/>
    <w:rsid w:val="3BBD1E1E"/>
    <w:rsid w:val="3BC62A80"/>
    <w:rsid w:val="3BC66F24"/>
    <w:rsid w:val="3BC8280D"/>
    <w:rsid w:val="3BC82C9D"/>
    <w:rsid w:val="3BC9431F"/>
    <w:rsid w:val="3BCC3E0F"/>
    <w:rsid w:val="3BD31641"/>
    <w:rsid w:val="3BD763BC"/>
    <w:rsid w:val="3BDC2871"/>
    <w:rsid w:val="3BE23632"/>
    <w:rsid w:val="3BF33A92"/>
    <w:rsid w:val="3C074E47"/>
    <w:rsid w:val="3C0B0DDB"/>
    <w:rsid w:val="3C0D6901"/>
    <w:rsid w:val="3C134F1C"/>
    <w:rsid w:val="3C1A48A7"/>
    <w:rsid w:val="3C280AF8"/>
    <w:rsid w:val="3C28373B"/>
    <w:rsid w:val="3C4816E7"/>
    <w:rsid w:val="3C4D39F7"/>
    <w:rsid w:val="3C5F759A"/>
    <w:rsid w:val="3C642299"/>
    <w:rsid w:val="3C681D8A"/>
    <w:rsid w:val="3C683B38"/>
    <w:rsid w:val="3C926CA5"/>
    <w:rsid w:val="3CB317D3"/>
    <w:rsid w:val="3CB83434"/>
    <w:rsid w:val="3CB87E25"/>
    <w:rsid w:val="3CBA010B"/>
    <w:rsid w:val="3CBE19AA"/>
    <w:rsid w:val="3CDD6728"/>
    <w:rsid w:val="3CE05DC4"/>
    <w:rsid w:val="3CE37662"/>
    <w:rsid w:val="3CED228F"/>
    <w:rsid w:val="3CF81BF2"/>
    <w:rsid w:val="3CFB26A5"/>
    <w:rsid w:val="3D023F8C"/>
    <w:rsid w:val="3D057180"/>
    <w:rsid w:val="3D253CD6"/>
    <w:rsid w:val="3D31661F"/>
    <w:rsid w:val="3D346110"/>
    <w:rsid w:val="3D3954D4"/>
    <w:rsid w:val="3D3B3C1C"/>
    <w:rsid w:val="3D3D2CDA"/>
    <w:rsid w:val="3D477BF1"/>
    <w:rsid w:val="3D4E0F7F"/>
    <w:rsid w:val="3D5877B1"/>
    <w:rsid w:val="3D7A6CB8"/>
    <w:rsid w:val="3D7A7FC6"/>
    <w:rsid w:val="3D802641"/>
    <w:rsid w:val="3D89645B"/>
    <w:rsid w:val="3D934BE4"/>
    <w:rsid w:val="3D964CA0"/>
    <w:rsid w:val="3DA112E1"/>
    <w:rsid w:val="3DAC5CA6"/>
    <w:rsid w:val="3DAF2B6F"/>
    <w:rsid w:val="3DB66B25"/>
    <w:rsid w:val="3DCE3E6E"/>
    <w:rsid w:val="3DDF4990"/>
    <w:rsid w:val="3DE10046"/>
    <w:rsid w:val="3E0B4A65"/>
    <w:rsid w:val="3E0E6961"/>
    <w:rsid w:val="3E164325"/>
    <w:rsid w:val="3E43485C"/>
    <w:rsid w:val="3E524A9F"/>
    <w:rsid w:val="3E5F0F6A"/>
    <w:rsid w:val="3EA856F2"/>
    <w:rsid w:val="3EAD46C9"/>
    <w:rsid w:val="3EBB0897"/>
    <w:rsid w:val="3EE53B65"/>
    <w:rsid w:val="3EF53E39"/>
    <w:rsid w:val="3F0A7128"/>
    <w:rsid w:val="3F116709"/>
    <w:rsid w:val="3F1334EB"/>
    <w:rsid w:val="3F146697"/>
    <w:rsid w:val="3F2F6B8F"/>
    <w:rsid w:val="3F427EE2"/>
    <w:rsid w:val="3F457E81"/>
    <w:rsid w:val="3F47037C"/>
    <w:rsid w:val="3F514D57"/>
    <w:rsid w:val="3F555E6F"/>
    <w:rsid w:val="3F6251B6"/>
    <w:rsid w:val="3F696545"/>
    <w:rsid w:val="3F6F51DD"/>
    <w:rsid w:val="3F7153F9"/>
    <w:rsid w:val="3F7E4F38"/>
    <w:rsid w:val="3F8C7AD1"/>
    <w:rsid w:val="3F8E2523"/>
    <w:rsid w:val="3FA550A3"/>
    <w:rsid w:val="3FBF43B6"/>
    <w:rsid w:val="3FC03C8B"/>
    <w:rsid w:val="3FC25C55"/>
    <w:rsid w:val="3FCC0881"/>
    <w:rsid w:val="3FD17C46"/>
    <w:rsid w:val="3FD414E4"/>
    <w:rsid w:val="3FD57736"/>
    <w:rsid w:val="3FDB0AC5"/>
    <w:rsid w:val="3FE67B95"/>
    <w:rsid w:val="3FE77469"/>
    <w:rsid w:val="3FEA2868"/>
    <w:rsid w:val="3FEE2E14"/>
    <w:rsid w:val="40063D93"/>
    <w:rsid w:val="40076861"/>
    <w:rsid w:val="401C5365"/>
    <w:rsid w:val="40227BE3"/>
    <w:rsid w:val="40324B88"/>
    <w:rsid w:val="404C46A3"/>
    <w:rsid w:val="4066403F"/>
    <w:rsid w:val="40692574"/>
    <w:rsid w:val="406D3E12"/>
    <w:rsid w:val="40707630"/>
    <w:rsid w:val="409519F4"/>
    <w:rsid w:val="409633BB"/>
    <w:rsid w:val="40C72178"/>
    <w:rsid w:val="40E045E4"/>
    <w:rsid w:val="40EA1C0C"/>
    <w:rsid w:val="40F053F7"/>
    <w:rsid w:val="41046039"/>
    <w:rsid w:val="410B0476"/>
    <w:rsid w:val="410B7B35"/>
    <w:rsid w:val="410C0328"/>
    <w:rsid w:val="410F4ECA"/>
    <w:rsid w:val="41160006"/>
    <w:rsid w:val="412169AB"/>
    <w:rsid w:val="412D35A2"/>
    <w:rsid w:val="4133382B"/>
    <w:rsid w:val="41377F7D"/>
    <w:rsid w:val="41434B73"/>
    <w:rsid w:val="414508EB"/>
    <w:rsid w:val="4156530C"/>
    <w:rsid w:val="415E24D2"/>
    <w:rsid w:val="415E375B"/>
    <w:rsid w:val="416F3BBA"/>
    <w:rsid w:val="41792343"/>
    <w:rsid w:val="418036D2"/>
    <w:rsid w:val="41807B75"/>
    <w:rsid w:val="418F600A"/>
    <w:rsid w:val="4199411A"/>
    <w:rsid w:val="41B11ADD"/>
    <w:rsid w:val="41B436C3"/>
    <w:rsid w:val="41B80B32"/>
    <w:rsid w:val="41B810BD"/>
    <w:rsid w:val="41B82E6B"/>
    <w:rsid w:val="41BD0482"/>
    <w:rsid w:val="41F8770C"/>
    <w:rsid w:val="41FF7556"/>
    <w:rsid w:val="4202058A"/>
    <w:rsid w:val="420B38E3"/>
    <w:rsid w:val="421D3616"/>
    <w:rsid w:val="42213106"/>
    <w:rsid w:val="42224C44"/>
    <w:rsid w:val="42295B17"/>
    <w:rsid w:val="42334BE8"/>
    <w:rsid w:val="4246491B"/>
    <w:rsid w:val="424E557E"/>
    <w:rsid w:val="425415D1"/>
    <w:rsid w:val="4259768B"/>
    <w:rsid w:val="42674891"/>
    <w:rsid w:val="42747640"/>
    <w:rsid w:val="42870A90"/>
    <w:rsid w:val="428C42F8"/>
    <w:rsid w:val="429338D8"/>
    <w:rsid w:val="42993ED1"/>
    <w:rsid w:val="42B0448A"/>
    <w:rsid w:val="42C248DD"/>
    <w:rsid w:val="42C341BE"/>
    <w:rsid w:val="42CE0B28"/>
    <w:rsid w:val="42E3660E"/>
    <w:rsid w:val="43000F6E"/>
    <w:rsid w:val="430A3B9B"/>
    <w:rsid w:val="432602A9"/>
    <w:rsid w:val="432B3415"/>
    <w:rsid w:val="433171C2"/>
    <w:rsid w:val="43335CC1"/>
    <w:rsid w:val="435968D0"/>
    <w:rsid w:val="435E3EE6"/>
    <w:rsid w:val="435F6913"/>
    <w:rsid w:val="436808C1"/>
    <w:rsid w:val="43747266"/>
    <w:rsid w:val="43762FDE"/>
    <w:rsid w:val="437D25BE"/>
    <w:rsid w:val="437E6337"/>
    <w:rsid w:val="43803E5D"/>
    <w:rsid w:val="438C45B0"/>
    <w:rsid w:val="439E0787"/>
    <w:rsid w:val="43A037F9"/>
    <w:rsid w:val="43AF6721"/>
    <w:rsid w:val="43B7341D"/>
    <w:rsid w:val="43BA13F1"/>
    <w:rsid w:val="43CC3C6E"/>
    <w:rsid w:val="43D146B8"/>
    <w:rsid w:val="43F5418D"/>
    <w:rsid w:val="440E72B6"/>
    <w:rsid w:val="4414531D"/>
    <w:rsid w:val="441E5ED4"/>
    <w:rsid w:val="44352E99"/>
    <w:rsid w:val="44384737"/>
    <w:rsid w:val="44446C38"/>
    <w:rsid w:val="445D3C9B"/>
    <w:rsid w:val="445D7CFA"/>
    <w:rsid w:val="445F7575"/>
    <w:rsid w:val="44676DCB"/>
    <w:rsid w:val="4473751E"/>
    <w:rsid w:val="448636F5"/>
    <w:rsid w:val="44973170"/>
    <w:rsid w:val="449E3CE3"/>
    <w:rsid w:val="44A65B45"/>
    <w:rsid w:val="44B03C75"/>
    <w:rsid w:val="44C72567"/>
    <w:rsid w:val="44CB0EE8"/>
    <w:rsid w:val="44D73F50"/>
    <w:rsid w:val="44F17A28"/>
    <w:rsid w:val="44F8123A"/>
    <w:rsid w:val="450E7246"/>
    <w:rsid w:val="45120AE5"/>
    <w:rsid w:val="4517434D"/>
    <w:rsid w:val="453A088B"/>
    <w:rsid w:val="453C0257"/>
    <w:rsid w:val="45401AF6"/>
    <w:rsid w:val="455A06DD"/>
    <w:rsid w:val="456926CF"/>
    <w:rsid w:val="456D21BF"/>
    <w:rsid w:val="456D6663"/>
    <w:rsid w:val="45763769"/>
    <w:rsid w:val="457C4F0E"/>
    <w:rsid w:val="4586654C"/>
    <w:rsid w:val="458A4B1F"/>
    <w:rsid w:val="45912351"/>
    <w:rsid w:val="459736E0"/>
    <w:rsid w:val="45AC0F39"/>
    <w:rsid w:val="45BD3146"/>
    <w:rsid w:val="45C23BE7"/>
    <w:rsid w:val="45F428E0"/>
    <w:rsid w:val="46024FFD"/>
    <w:rsid w:val="460A3EB2"/>
    <w:rsid w:val="461F0024"/>
    <w:rsid w:val="463644D9"/>
    <w:rsid w:val="463A4797"/>
    <w:rsid w:val="46447925"/>
    <w:rsid w:val="46521A6E"/>
    <w:rsid w:val="465D2233"/>
    <w:rsid w:val="46601D24"/>
    <w:rsid w:val="4669507C"/>
    <w:rsid w:val="46893F32"/>
    <w:rsid w:val="469814BD"/>
    <w:rsid w:val="46AC6D17"/>
    <w:rsid w:val="46C331F2"/>
    <w:rsid w:val="46FF778E"/>
    <w:rsid w:val="471E5E67"/>
    <w:rsid w:val="471F573B"/>
    <w:rsid w:val="47347026"/>
    <w:rsid w:val="477E4B57"/>
    <w:rsid w:val="478163F5"/>
    <w:rsid w:val="478557D4"/>
    <w:rsid w:val="47A01627"/>
    <w:rsid w:val="47AC2BEA"/>
    <w:rsid w:val="47AF2F63"/>
    <w:rsid w:val="47C16CD6"/>
    <w:rsid w:val="47C46FB6"/>
    <w:rsid w:val="47C9565F"/>
    <w:rsid w:val="47CA0069"/>
    <w:rsid w:val="47E54182"/>
    <w:rsid w:val="47EA3F9B"/>
    <w:rsid w:val="481334F1"/>
    <w:rsid w:val="48135CD5"/>
    <w:rsid w:val="48435459"/>
    <w:rsid w:val="48475477"/>
    <w:rsid w:val="4856518C"/>
    <w:rsid w:val="48647824"/>
    <w:rsid w:val="486A45F8"/>
    <w:rsid w:val="486A50DB"/>
    <w:rsid w:val="487B2E45"/>
    <w:rsid w:val="489108BA"/>
    <w:rsid w:val="489D2DBB"/>
    <w:rsid w:val="48BD0863"/>
    <w:rsid w:val="48C52AC1"/>
    <w:rsid w:val="48DF1625"/>
    <w:rsid w:val="48E409EA"/>
    <w:rsid w:val="48F53030"/>
    <w:rsid w:val="48FB6EA2"/>
    <w:rsid w:val="49044BE8"/>
    <w:rsid w:val="49066BB2"/>
    <w:rsid w:val="490948F4"/>
    <w:rsid w:val="491A440C"/>
    <w:rsid w:val="491D3EFC"/>
    <w:rsid w:val="49211C3E"/>
    <w:rsid w:val="492178D9"/>
    <w:rsid w:val="49292CBC"/>
    <w:rsid w:val="492C413F"/>
    <w:rsid w:val="49357497"/>
    <w:rsid w:val="4953791E"/>
    <w:rsid w:val="495A53F8"/>
    <w:rsid w:val="49641B2B"/>
    <w:rsid w:val="49697141"/>
    <w:rsid w:val="49731136"/>
    <w:rsid w:val="498D2E30"/>
    <w:rsid w:val="49900B72"/>
    <w:rsid w:val="49AE1470"/>
    <w:rsid w:val="49D15412"/>
    <w:rsid w:val="49D767A1"/>
    <w:rsid w:val="49E1317B"/>
    <w:rsid w:val="49E60792"/>
    <w:rsid w:val="4A0A0505"/>
    <w:rsid w:val="4A1B4C40"/>
    <w:rsid w:val="4A1D0657"/>
    <w:rsid w:val="4A254F2B"/>
    <w:rsid w:val="4A2A4B22"/>
    <w:rsid w:val="4A2D17DA"/>
    <w:rsid w:val="4A317C5F"/>
    <w:rsid w:val="4A372B4E"/>
    <w:rsid w:val="4A372D9B"/>
    <w:rsid w:val="4A3B0ADD"/>
    <w:rsid w:val="4A4060F4"/>
    <w:rsid w:val="4A424B4F"/>
    <w:rsid w:val="4A4A1F5F"/>
    <w:rsid w:val="4A4C7934"/>
    <w:rsid w:val="4A4D25BF"/>
    <w:rsid w:val="4A522AD4"/>
    <w:rsid w:val="4A5B4A81"/>
    <w:rsid w:val="4A5E657A"/>
    <w:rsid w:val="4A630034"/>
    <w:rsid w:val="4A6A13C3"/>
    <w:rsid w:val="4A8C7090"/>
    <w:rsid w:val="4A8F4985"/>
    <w:rsid w:val="4A9106FD"/>
    <w:rsid w:val="4A914BA1"/>
    <w:rsid w:val="4A9459DD"/>
    <w:rsid w:val="4A9A1CA8"/>
    <w:rsid w:val="4A9F106C"/>
    <w:rsid w:val="4A9F72BE"/>
    <w:rsid w:val="4AA27F52"/>
    <w:rsid w:val="4AB03279"/>
    <w:rsid w:val="4AB16FF2"/>
    <w:rsid w:val="4AB32D6A"/>
    <w:rsid w:val="4AB36A1A"/>
    <w:rsid w:val="4AB97752"/>
    <w:rsid w:val="4ABB39CC"/>
    <w:rsid w:val="4ABC5DAA"/>
    <w:rsid w:val="4ADB406F"/>
    <w:rsid w:val="4ADF3B5F"/>
    <w:rsid w:val="4AE42F23"/>
    <w:rsid w:val="4AF3760A"/>
    <w:rsid w:val="4AF869CF"/>
    <w:rsid w:val="4B257D58"/>
    <w:rsid w:val="4B2E7CB3"/>
    <w:rsid w:val="4B335C59"/>
    <w:rsid w:val="4B4B4D50"/>
    <w:rsid w:val="4B5C17F2"/>
    <w:rsid w:val="4B6202EC"/>
    <w:rsid w:val="4B6232EC"/>
    <w:rsid w:val="4B6422B6"/>
    <w:rsid w:val="4B64463E"/>
    <w:rsid w:val="4B6B53F2"/>
    <w:rsid w:val="4B7C13AE"/>
    <w:rsid w:val="4B8D7117"/>
    <w:rsid w:val="4B8F1157"/>
    <w:rsid w:val="4B906C3C"/>
    <w:rsid w:val="4B9366F7"/>
    <w:rsid w:val="4BDC3BFA"/>
    <w:rsid w:val="4BDD7BA7"/>
    <w:rsid w:val="4BE3142D"/>
    <w:rsid w:val="4BEA1BAB"/>
    <w:rsid w:val="4C066EC9"/>
    <w:rsid w:val="4C123AC0"/>
    <w:rsid w:val="4C1559E9"/>
    <w:rsid w:val="4C1C66ED"/>
    <w:rsid w:val="4C244276"/>
    <w:rsid w:val="4C31516A"/>
    <w:rsid w:val="4C341C88"/>
    <w:rsid w:val="4C392DFB"/>
    <w:rsid w:val="4C3D6D8F"/>
    <w:rsid w:val="4C417F01"/>
    <w:rsid w:val="4C5E2A9E"/>
    <w:rsid w:val="4C72455F"/>
    <w:rsid w:val="4C7D7556"/>
    <w:rsid w:val="4C7E6688"/>
    <w:rsid w:val="4C891FD4"/>
    <w:rsid w:val="4C912C37"/>
    <w:rsid w:val="4C9170DB"/>
    <w:rsid w:val="4CB30DFF"/>
    <w:rsid w:val="4CB357BF"/>
    <w:rsid w:val="4CCB0B38"/>
    <w:rsid w:val="4CCC0113"/>
    <w:rsid w:val="4CE36D98"/>
    <w:rsid w:val="4CFA6659"/>
    <w:rsid w:val="4D021D86"/>
    <w:rsid w:val="4D0470DF"/>
    <w:rsid w:val="4D2A4DD2"/>
    <w:rsid w:val="4D381304"/>
    <w:rsid w:val="4D3A32CE"/>
    <w:rsid w:val="4D436633"/>
    <w:rsid w:val="4D5F2856"/>
    <w:rsid w:val="4D5F4AE3"/>
    <w:rsid w:val="4D6245D3"/>
    <w:rsid w:val="4D624F2A"/>
    <w:rsid w:val="4D673998"/>
    <w:rsid w:val="4D787F5F"/>
    <w:rsid w:val="4D8409ED"/>
    <w:rsid w:val="4DAB41CC"/>
    <w:rsid w:val="4DB43081"/>
    <w:rsid w:val="4DBE6397"/>
    <w:rsid w:val="4DBF1A26"/>
    <w:rsid w:val="4DCD7C9F"/>
    <w:rsid w:val="4DD51840"/>
    <w:rsid w:val="4DE82D2A"/>
    <w:rsid w:val="4DEC1465"/>
    <w:rsid w:val="4DFB6F66"/>
    <w:rsid w:val="4E0833CC"/>
    <w:rsid w:val="4E17716C"/>
    <w:rsid w:val="4E1E499E"/>
    <w:rsid w:val="4E4C6AC5"/>
    <w:rsid w:val="4E5541CA"/>
    <w:rsid w:val="4E630603"/>
    <w:rsid w:val="4E6C395B"/>
    <w:rsid w:val="4E704ACE"/>
    <w:rsid w:val="4E750330"/>
    <w:rsid w:val="4E7D7917"/>
    <w:rsid w:val="4EB40E5E"/>
    <w:rsid w:val="4ECA2430"/>
    <w:rsid w:val="4EF474AD"/>
    <w:rsid w:val="4EFD2805"/>
    <w:rsid w:val="4F112A7C"/>
    <w:rsid w:val="4F155DA1"/>
    <w:rsid w:val="4F186BA0"/>
    <w:rsid w:val="4F1F09CE"/>
    <w:rsid w:val="4F2013CF"/>
    <w:rsid w:val="4F2935FA"/>
    <w:rsid w:val="4F365D17"/>
    <w:rsid w:val="4F400D7B"/>
    <w:rsid w:val="4F457D08"/>
    <w:rsid w:val="4F4C72E9"/>
    <w:rsid w:val="4F506DD9"/>
    <w:rsid w:val="4F512744"/>
    <w:rsid w:val="4F532425"/>
    <w:rsid w:val="4F583EE0"/>
    <w:rsid w:val="4F6B59C1"/>
    <w:rsid w:val="4F6C1739"/>
    <w:rsid w:val="4F7500A2"/>
    <w:rsid w:val="4F7D6B92"/>
    <w:rsid w:val="4F8B7E11"/>
    <w:rsid w:val="4F9111A0"/>
    <w:rsid w:val="4F9B5B7A"/>
    <w:rsid w:val="4FA233AD"/>
    <w:rsid w:val="4FB156A9"/>
    <w:rsid w:val="4FB31116"/>
    <w:rsid w:val="4FC14613"/>
    <w:rsid w:val="4FD33681"/>
    <w:rsid w:val="4FDC68BF"/>
    <w:rsid w:val="4FE24FA4"/>
    <w:rsid w:val="4FE52340"/>
    <w:rsid w:val="4FE62232"/>
    <w:rsid w:val="4FFC486B"/>
    <w:rsid w:val="50055E16"/>
    <w:rsid w:val="50067498"/>
    <w:rsid w:val="50085E1B"/>
    <w:rsid w:val="50180925"/>
    <w:rsid w:val="502F2E92"/>
    <w:rsid w:val="50360E73"/>
    <w:rsid w:val="50390CB3"/>
    <w:rsid w:val="506348EA"/>
    <w:rsid w:val="50720FD1"/>
    <w:rsid w:val="50796508"/>
    <w:rsid w:val="507B60D8"/>
    <w:rsid w:val="50841267"/>
    <w:rsid w:val="508D5E0B"/>
    <w:rsid w:val="50924920"/>
    <w:rsid w:val="50A3118B"/>
    <w:rsid w:val="50A53155"/>
    <w:rsid w:val="50BB2978"/>
    <w:rsid w:val="50C01D3C"/>
    <w:rsid w:val="50C07F8E"/>
    <w:rsid w:val="50DE6667"/>
    <w:rsid w:val="50F04F55"/>
    <w:rsid w:val="50F635E4"/>
    <w:rsid w:val="50FA227E"/>
    <w:rsid w:val="51022355"/>
    <w:rsid w:val="51024B11"/>
    <w:rsid w:val="510D6856"/>
    <w:rsid w:val="512C1180"/>
    <w:rsid w:val="512C73D2"/>
    <w:rsid w:val="513A1AEF"/>
    <w:rsid w:val="515F1831"/>
    <w:rsid w:val="51600E2A"/>
    <w:rsid w:val="51646B6C"/>
    <w:rsid w:val="5169100D"/>
    <w:rsid w:val="516F72BF"/>
    <w:rsid w:val="5178753C"/>
    <w:rsid w:val="517C45F8"/>
    <w:rsid w:val="517D772D"/>
    <w:rsid w:val="51813034"/>
    <w:rsid w:val="518E1E3B"/>
    <w:rsid w:val="51A21442"/>
    <w:rsid w:val="51A21F46"/>
    <w:rsid w:val="51A33E68"/>
    <w:rsid w:val="51C770FB"/>
    <w:rsid w:val="51E41A5B"/>
    <w:rsid w:val="51ED6B61"/>
    <w:rsid w:val="51F31300"/>
    <w:rsid w:val="51F36142"/>
    <w:rsid w:val="52043EAB"/>
    <w:rsid w:val="52105B50"/>
    <w:rsid w:val="521D2144"/>
    <w:rsid w:val="52291B63"/>
    <w:rsid w:val="52344B41"/>
    <w:rsid w:val="523D5916"/>
    <w:rsid w:val="524349D3"/>
    <w:rsid w:val="5247332B"/>
    <w:rsid w:val="5257047F"/>
    <w:rsid w:val="52645BD4"/>
    <w:rsid w:val="526F3A1A"/>
    <w:rsid w:val="527E3C5D"/>
    <w:rsid w:val="5294522F"/>
    <w:rsid w:val="529B7D50"/>
    <w:rsid w:val="52A612AF"/>
    <w:rsid w:val="52AB4326"/>
    <w:rsid w:val="52B82792"/>
    <w:rsid w:val="52BD77B8"/>
    <w:rsid w:val="52CC2C1B"/>
    <w:rsid w:val="52DB10B0"/>
    <w:rsid w:val="52E60453"/>
    <w:rsid w:val="52EF06B7"/>
    <w:rsid w:val="52F67C97"/>
    <w:rsid w:val="52FA4256"/>
    <w:rsid w:val="5301063F"/>
    <w:rsid w:val="530D4FE1"/>
    <w:rsid w:val="5314011E"/>
    <w:rsid w:val="531719BC"/>
    <w:rsid w:val="53191BD8"/>
    <w:rsid w:val="53204D14"/>
    <w:rsid w:val="53316F22"/>
    <w:rsid w:val="533B1B4E"/>
    <w:rsid w:val="53617686"/>
    <w:rsid w:val="536264C0"/>
    <w:rsid w:val="536D782E"/>
    <w:rsid w:val="5373614B"/>
    <w:rsid w:val="53760DD8"/>
    <w:rsid w:val="538F59F6"/>
    <w:rsid w:val="53915074"/>
    <w:rsid w:val="5397518A"/>
    <w:rsid w:val="53982AFD"/>
    <w:rsid w:val="53A07C03"/>
    <w:rsid w:val="53A2397B"/>
    <w:rsid w:val="53A54549"/>
    <w:rsid w:val="53A876CC"/>
    <w:rsid w:val="53AC47FA"/>
    <w:rsid w:val="53C04396"/>
    <w:rsid w:val="53C21688"/>
    <w:rsid w:val="53C47D96"/>
    <w:rsid w:val="53C66AC7"/>
    <w:rsid w:val="53CD3671"/>
    <w:rsid w:val="53E53868"/>
    <w:rsid w:val="540463E4"/>
    <w:rsid w:val="54162CDC"/>
    <w:rsid w:val="542E0C2A"/>
    <w:rsid w:val="54462559"/>
    <w:rsid w:val="54772376"/>
    <w:rsid w:val="548412D3"/>
    <w:rsid w:val="54870707"/>
    <w:rsid w:val="54880DC3"/>
    <w:rsid w:val="549A28A4"/>
    <w:rsid w:val="54AA0D3A"/>
    <w:rsid w:val="54BA6AA3"/>
    <w:rsid w:val="54C618EB"/>
    <w:rsid w:val="54C65448"/>
    <w:rsid w:val="54C73AEB"/>
    <w:rsid w:val="54D45DB6"/>
    <w:rsid w:val="54D80358"/>
    <w:rsid w:val="54E3424B"/>
    <w:rsid w:val="54E63D3C"/>
    <w:rsid w:val="54EA7388"/>
    <w:rsid w:val="54F82A1B"/>
    <w:rsid w:val="54FF095A"/>
    <w:rsid w:val="550753CD"/>
    <w:rsid w:val="551A26C0"/>
    <w:rsid w:val="551F0656"/>
    <w:rsid w:val="55257EBD"/>
    <w:rsid w:val="552705DC"/>
    <w:rsid w:val="552733C1"/>
    <w:rsid w:val="55301AD2"/>
    <w:rsid w:val="55312A24"/>
    <w:rsid w:val="55384597"/>
    <w:rsid w:val="554D7917"/>
    <w:rsid w:val="55503D0D"/>
    <w:rsid w:val="55524F2D"/>
    <w:rsid w:val="55563C7F"/>
    <w:rsid w:val="5560764A"/>
    <w:rsid w:val="55827BF1"/>
    <w:rsid w:val="558C6691"/>
    <w:rsid w:val="55943798"/>
    <w:rsid w:val="559B68D4"/>
    <w:rsid w:val="559E693F"/>
    <w:rsid w:val="55A03EEB"/>
    <w:rsid w:val="55A3460B"/>
    <w:rsid w:val="55AC6D33"/>
    <w:rsid w:val="55B654BC"/>
    <w:rsid w:val="55B87AE5"/>
    <w:rsid w:val="55BA66A9"/>
    <w:rsid w:val="55CA0F6B"/>
    <w:rsid w:val="55D308C2"/>
    <w:rsid w:val="55FB6AB1"/>
    <w:rsid w:val="560B3A5A"/>
    <w:rsid w:val="560F1B9D"/>
    <w:rsid w:val="56170651"/>
    <w:rsid w:val="562F2CD0"/>
    <w:rsid w:val="56410322"/>
    <w:rsid w:val="56717635"/>
    <w:rsid w:val="56767467"/>
    <w:rsid w:val="56767888"/>
    <w:rsid w:val="56814800"/>
    <w:rsid w:val="5683587B"/>
    <w:rsid w:val="56877EDB"/>
    <w:rsid w:val="568A7075"/>
    <w:rsid w:val="568C1C4C"/>
    <w:rsid w:val="56914387"/>
    <w:rsid w:val="56A812A9"/>
    <w:rsid w:val="56AB69D0"/>
    <w:rsid w:val="56B948C3"/>
    <w:rsid w:val="56BE64D7"/>
    <w:rsid w:val="56C8194B"/>
    <w:rsid w:val="56D03958"/>
    <w:rsid w:val="56D952A8"/>
    <w:rsid w:val="56E542AB"/>
    <w:rsid w:val="56EE0C86"/>
    <w:rsid w:val="56EE2BE9"/>
    <w:rsid w:val="56F03D99"/>
    <w:rsid w:val="56FA762A"/>
    <w:rsid w:val="56FC15F5"/>
    <w:rsid w:val="56FF3A7D"/>
    <w:rsid w:val="56FF51FF"/>
    <w:rsid w:val="57034731"/>
    <w:rsid w:val="570A1F63"/>
    <w:rsid w:val="570F3B51"/>
    <w:rsid w:val="57183B71"/>
    <w:rsid w:val="57233025"/>
    <w:rsid w:val="57272975"/>
    <w:rsid w:val="57283E05"/>
    <w:rsid w:val="572913D8"/>
    <w:rsid w:val="57340D8E"/>
    <w:rsid w:val="57364B06"/>
    <w:rsid w:val="573A2934"/>
    <w:rsid w:val="573B3674"/>
    <w:rsid w:val="574C257C"/>
    <w:rsid w:val="574F7976"/>
    <w:rsid w:val="575256B8"/>
    <w:rsid w:val="57723665"/>
    <w:rsid w:val="578909AC"/>
    <w:rsid w:val="57931F59"/>
    <w:rsid w:val="579C6348"/>
    <w:rsid w:val="57A4224B"/>
    <w:rsid w:val="57A777B2"/>
    <w:rsid w:val="57B1418D"/>
    <w:rsid w:val="57B36157"/>
    <w:rsid w:val="57B65C47"/>
    <w:rsid w:val="57B976AF"/>
    <w:rsid w:val="57CD4D3F"/>
    <w:rsid w:val="57E74053"/>
    <w:rsid w:val="57EA769F"/>
    <w:rsid w:val="57EF0351"/>
    <w:rsid w:val="57F34CBE"/>
    <w:rsid w:val="580011E2"/>
    <w:rsid w:val="580759F7"/>
    <w:rsid w:val="580B5F93"/>
    <w:rsid w:val="582157B7"/>
    <w:rsid w:val="583D1EC5"/>
    <w:rsid w:val="58412EA2"/>
    <w:rsid w:val="58417C07"/>
    <w:rsid w:val="58450D2C"/>
    <w:rsid w:val="58487AE6"/>
    <w:rsid w:val="584E1FBB"/>
    <w:rsid w:val="58627B7D"/>
    <w:rsid w:val="586C319D"/>
    <w:rsid w:val="58773629"/>
    <w:rsid w:val="58892BEE"/>
    <w:rsid w:val="588C69A8"/>
    <w:rsid w:val="58913FBE"/>
    <w:rsid w:val="58953BEB"/>
    <w:rsid w:val="589C5C65"/>
    <w:rsid w:val="58AD704A"/>
    <w:rsid w:val="58AF2EC0"/>
    <w:rsid w:val="58B3335B"/>
    <w:rsid w:val="58CD4FF7"/>
    <w:rsid w:val="58E24461"/>
    <w:rsid w:val="58E660B8"/>
    <w:rsid w:val="58E9088B"/>
    <w:rsid w:val="58E95BA9"/>
    <w:rsid w:val="58ED5699"/>
    <w:rsid w:val="58EE31BF"/>
    <w:rsid w:val="58EF0DF9"/>
    <w:rsid w:val="58F63101"/>
    <w:rsid w:val="58FF717A"/>
    <w:rsid w:val="590B1FC3"/>
    <w:rsid w:val="59101387"/>
    <w:rsid w:val="59140E77"/>
    <w:rsid w:val="592503CD"/>
    <w:rsid w:val="592A069B"/>
    <w:rsid w:val="592B204C"/>
    <w:rsid w:val="59386C6B"/>
    <w:rsid w:val="59396B30"/>
    <w:rsid w:val="593B4656"/>
    <w:rsid w:val="59637709"/>
    <w:rsid w:val="59710078"/>
    <w:rsid w:val="59AA3003"/>
    <w:rsid w:val="59AC5554"/>
    <w:rsid w:val="59B83EF9"/>
    <w:rsid w:val="59B85B4B"/>
    <w:rsid w:val="59BB72AA"/>
    <w:rsid w:val="59C06909"/>
    <w:rsid w:val="59E7658C"/>
    <w:rsid w:val="59EC2395"/>
    <w:rsid w:val="59FE5684"/>
    <w:rsid w:val="5A0175B9"/>
    <w:rsid w:val="5A1153B7"/>
    <w:rsid w:val="5A1479BD"/>
    <w:rsid w:val="5A18057C"/>
    <w:rsid w:val="5A1A070F"/>
    <w:rsid w:val="5A33532D"/>
    <w:rsid w:val="5A364E1D"/>
    <w:rsid w:val="5A581238"/>
    <w:rsid w:val="5A7125EE"/>
    <w:rsid w:val="5A82325F"/>
    <w:rsid w:val="5A922D1F"/>
    <w:rsid w:val="5A940ED3"/>
    <w:rsid w:val="5AA61A39"/>
    <w:rsid w:val="5AAB4D51"/>
    <w:rsid w:val="5ABF3065"/>
    <w:rsid w:val="5AF96577"/>
    <w:rsid w:val="5B0373F5"/>
    <w:rsid w:val="5B0C6F4A"/>
    <w:rsid w:val="5B157129"/>
    <w:rsid w:val="5B1931EA"/>
    <w:rsid w:val="5B1E5FDD"/>
    <w:rsid w:val="5B256394"/>
    <w:rsid w:val="5B280C0A"/>
    <w:rsid w:val="5B2F3CA6"/>
    <w:rsid w:val="5B353327"/>
    <w:rsid w:val="5B386973"/>
    <w:rsid w:val="5B3B6561"/>
    <w:rsid w:val="5B413A7A"/>
    <w:rsid w:val="5B53068C"/>
    <w:rsid w:val="5B5B0FE0"/>
    <w:rsid w:val="5B5C0FD7"/>
    <w:rsid w:val="5B721E85"/>
    <w:rsid w:val="5B77749C"/>
    <w:rsid w:val="5B7C4AB2"/>
    <w:rsid w:val="5B822C83"/>
    <w:rsid w:val="5B863B83"/>
    <w:rsid w:val="5B8A6A19"/>
    <w:rsid w:val="5B916CE6"/>
    <w:rsid w:val="5B977B3E"/>
    <w:rsid w:val="5BB16E51"/>
    <w:rsid w:val="5BE07737"/>
    <w:rsid w:val="5BE10DB9"/>
    <w:rsid w:val="5C0A68F1"/>
    <w:rsid w:val="5C142F3C"/>
    <w:rsid w:val="5C221AFD"/>
    <w:rsid w:val="5C3166BC"/>
    <w:rsid w:val="5C3655A9"/>
    <w:rsid w:val="5C3929A3"/>
    <w:rsid w:val="5C441A74"/>
    <w:rsid w:val="5C5958C8"/>
    <w:rsid w:val="5C7216CF"/>
    <w:rsid w:val="5C814A76"/>
    <w:rsid w:val="5C817072"/>
    <w:rsid w:val="5C904CB9"/>
    <w:rsid w:val="5C95435B"/>
    <w:rsid w:val="5CA16EC6"/>
    <w:rsid w:val="5CA906D4"/>
    <w:rsid w:val="5CB930EC"/>
    <w:rsid w:val="5CBC3D00"/>
    <w:rsid w:val="5CCC3817"/>
    <w:rsid w:val="5CD22CC8"/>
    <w:rsid w:val="5CDE5C2E"/>
    <w:rsid w:val="5CE46A2F"/>
    <w:rsid w:val="5CF07506"/>
    <w:rsid w:val="5D1D34D1"/>
    <w:rsid w:val="5D21471A"/>
    <w:rsid w:val="5D26525B"/>
    <w:rsid w:val="5D2673CB"/>
    <w:rsid w:val="5D2E7A0D"/>
    <w:rsid w:val="5D355860"/>
    <w:rsid w:val="5D39757E"/>
    <w:rsid w:val="5D3F66DF"/>
    <w:rsid w:val="5D415FB3"/>
    <w:rsid w:val="5D4E60D5"/>
    <w:rsid w:val="5D8365CC"/>
    <w:rsid w:val="5D941783"/>
    <w:rsid w:val="5DA43C29"/>
    <w:rsid w:val="5DA64068"/>
    <w:rsid w:val="5DA83A3A"/>
    <w:rsid w:val="5DB46EC8"/>
    <w:rsid w:val="5DC10EA2"/>
    <w:rsid w:val="5DD7237A"/>
    <w:rsid w:val="5DDE3802"/>
    <w:rsid w:val="5DFB2240"/>
    <w:rsid w:val="5DFB4112"/>
    <w:rsid w:val="5E024645"/>
    <w:rsid w:val="5E0A45F7"/>
    <w:rsid w:val="5E0F7E5F"/>
    <w:rsid w:val="5E2A2EEB"/>
    <w:rsid w:val="5E2E29DB"/>
    <w:rsid w:val="5E2E3482"/>
    <w:rsid w:val="5E437B09"/>
    <w:rsid w:val="5E4F2952"/>
    <w:rsid w:val="5E7571D1"/>
    <w:rsid w:val="5E87020C"/>
    <w:rsid w:val="5E897C12"/>
    <w:rsid w:val="5E9822A4"/>
    <w:rsid w:val="5EA031AD"/>
    <w:rsid w:val="5EAF519E"/>
    <w:rsid w:val="5EB01642"/>
    <w:rsid w:val="5EB32C62"/>
    <w:rsid w:val="5EB804F7"/>
    <w:rsid w:val="5EB84053"/>
    <w:rsid w:val="5EB9022B"/>
    <w:rsid w:val="5EC21376"/>
    <w:rsid w:val="5EC5419E"/>
    <w:rsid w:val="5EE17A4E"/>
    <w:rsid w:val="5EE27322"/>
    <w:rsid w:val="5EE4753E"/>
    <w:rsid w:val="5EE66E12"/>
    <w:rsid w:val="5EE81843"/>
    <w:rsid w:val="5EFE5B95"/>
    <w:rsid w:val="5F025C16"/>
    <w:rsid w:val="5F1F779F"/>
    <w:rsid w:val="5F21609C"/>
    <w:rsid w:val="5F27742B"/>
    <w:rsid w:val="5F2E6A0B"/>
    <w:rsid w:val="5F3D6D4F"/>
    <w:rsid w:val="5F427DC1"/>
    <w:rsid w:val="5F4C7DD5"/>
    <w:rsid w:val="5F553840"/>
    <w:rsid w:val="5F661D01"/>
    <w:rsid w:val="5F773F0E"/>
    <w:rsid w:val="5F816B3B"/>
    <w:rsid w:val="5F88611B"/>
    <w:rsid w:val="5F8B5C0B"/>
    <w:rsid w:val="5F8D1984"/>
    <w:rsid w:val="5F9E76ED"/>
    <w:rsid w:val="5FA171DD"/>
    <w:rsid w:val="5FA268F1"/>
    <w:rsid w:val="5FAA7382"/>
    <w:rsid w:val="5FC8476A"/>
    <w:rsid w:val="5FCD3B2E"/>
    <w:rsid w:val="5FD41360"/>
    <w:rsid w:val="5FE46263"/>
    <w:rsid w:val="60003F04"/>
    <w:rsid w:val="601856F1"/>
    <w:rsid w:val="60213E7A"/>
    <w:rsid w:val="602A5424"/>
    <w:rsid w:val="603B318E"/>
    <w:rsid w:val="604F4E8B"/>
    <w:rsid w:val="60523326"/>
    <w:rsid w:val="60561D75"/>
    <w:rsid w:val="60566219"/>
    <w:rsid w:val="605814A9"/>
    <w:rsid w:val="60622F8E"/>
    <w:rsid w:val="60625B06"/>
    <w:rsid w:val="60665537"/>
    <w:rsid w:val="607D5554"/>
    <w:rsid w:val="60895010"/>
    <w:rsid w:val="608F5287"/>
    <w:rsid w:val="60934D78"/>
    <w:rsid w:val="60940AF0"/>
    <w:rsid w:val="60997EB4"/>
    <w:rsid w:val="609B00D0"/>
    <w:rsid w:val="60B63B4B"/>
    <w:rsid w:val="60B92304"/>
    <w:rsid w:val="60BB7E2A"/>
    <w:rsid w:val="60D64C64"/>
    <w:rsid w:val="60E07891"/>
    <w:rsid w:val="60E27AAD"/>
    <w:rsid w:val="60FB46CB"/>
    <w:rsid w:val="61023CAB"/>
    <w:rsid w:val="61025A59"/>
    <w:rsid w:val="611A0FF5"/>
    <w:rsid w:val="612F5321"/>
    <w:rsid w:val="6139713B"/>
    <w:rsid w:val="6143146A"/>
    <w:rsid w:val="61442516"/>
    <w:rsid w:val="61461DEA"/>
    <w:rsid w:val="61517527"/>
    <w:rsid w:val="615269E1"/>
    <w:rsid w:val="6162299C"/>
    <w:rsid w:val="616637A8"/>
    <w:rsid w:val="61722BDF"/>
    <w:rsid w:val="617C580C"/>
    <w:rsid w:val="61860438"/>
    <w:rsid w:val="61904851"/>
    <w:rsid w:val="6192502F"/>
    <w:rsid w:val="61B31BDD"/>
    <w:rsid w:val="61B34FA6"/>
    <w:rsid w:val="61B431F8"/>
    <w:rsid w:val="61B72CE8"/>
    <w:rsid w:val="61BE4401"/>
    <w:rsid w:val="61C86CA3"/>
    <w:rsid w:val="61C918FB"/>
    <w:rsid w:val="61C91EFF"/>
    <w:rsid w:val="61D05B58"/>
    <w:rsid w:val="61FE4473"/>
    <w:rsid w:val="6208709F"/>
    <w:rsid w:val="620D34C7"/>
    <w:rsid w:val="622F287E"/>
    <w:rsid w:val="623052EC"/>
    <w:rsid w:val="62453E65"/>
    <w:rsid w:val="6247406C"/>
    <w:rsid w:val="625264BF"/>
    <w:rsid w:val="62592B81"/>
    <w:rsid w:val="62650996"/>
    <w:rsid w:val="62776AB3"/>
    <w:rsid w:val="627E7362"/>
    <w:rsid w:val="62B96C85"/>
    <w:rsid w:val="62C31218"/>
    <w:rsid w:val="62CC0BA2"/>
    <w:rsid w:val="62CC7A30"/>
    <w:rsid w:val="62D52D32"/>
    <w:rsid w:val="62E93375"/>
    <w:rsid w:val="62EC4C13"/>
    <w:rsid w:val="62FD0BCE"/>
    <w:rsid w:val="630933A6"/>
    <w:rsid w:val="630E2DDB"/>
    <w:rsid w:val="631303F2"/>
    <w:rsid w:val="631D6B7A"/>
    <w:rsid w:val="631F28F3"/>
    <w:rsid w:val="632366B5"/>
    <w:rsid w:val="63402869"/>
    <w:rsid w:val="63582B26"/>
    <w:rsid w:val="638539E2"/>
    <w:rsid w:val="63A11ACA"/>
    <w:rsid w:val="63A252D2"/>
    <w:rsid w:val="63A948B2"/>
    <w:rsid w:val="63AE1EC8"/>
    <w:rsid w:val="63B514A9"/>
    <w:rsid w:val="63CB3AFD"/>
    <w:rsid w:val="63D77671"/>
    <w:rsid w:val="63DD630A"/>
    <w:rsid w:val="63E86EB7"/>
    <w:rsid w:val="63EA5884"/>
    <w:rsid w:val="63FC70D8"/>
    <w:rsid w:val="64053E6E"/>
    <w:rsid w:val="64063AB3"/>
    <w:rsid w:val="640A35A3"/>
    <w:rsid w:val="64107237"/>
    <w:rsid w:val="641E2BAA"/>
    <w:rsid w:val="643758A5"/>
    <w:rsid w:val="64405216"/>
    <w:rsid w:val="64436AB5"/>
    <w:rsid w:val="64495E0B"/>
    <w:rsid w:val="644A4A48"/>
    <w:rsid w:val="645111D2"/>
    <w:rsid w:val="64790728"/>
    <w:rsid w:val="647E30EE"/>
    <w:rsid w:val="647E5D3F"/>
    <w:rsid w:val="648A3E9D"/>
    <w:rsid w:val="649015CE"/>
    <w:rsid w:val="64B74DAD"/>
    <w:rsid w:val="64D21BE7"/>
    <w:rsid w:val="64DD2A65"/>
    <w:rsid w:val="64DE0CE5"/>
    <w:rsid w:val="64EA5182"/>
    <w:rsid w:val="6525440C"/>
    <w:rsid w:val="65295CAB"/>
    <w:rsid w:val="652A19AD"/>
    <w:rsid w:val="652A37D1"/>
    <w:rsid w:val="65402FF4"/>
    <w:rsid w:val="6546685C"/>
    <w:rsid w:val="656211BC"/>
    <w:rsid w:val="656E190F"/>
    <w:rsid w:val="657B681A"/>
    <w:rsid w:val="657D3699"/>
    <w:rsid w:val="659550EE"/>
    <w:rsid w:val="65B857C8"/>
    <w:rsid w:val="65CD2ADA"/>
    <w:rsid w:val="65EE01D4"/>
    <w:rsid w:val="65F55B8D"/>
    <w:rsid w:val="65F72DBC"/>
    <w:rsid w:val="65FD140A"/>
    <w:rsid w:val="6603474E"/>
    <w:rsid w:val="66124991"/>
    <w:rsid w:val="661C75BD"/>
    <w:rsid w:val="663414BA"/>
    <w:rsid w:val="66410DD2"/>
    <w:rsid w:val="665135D2"/>
    <w:rsid w:val="66587E4D"/>
    <w:rsid w:val="66630D48"/>
    <w:rsid w:val="66650F64"/>
    <w:rsid w:val="666845B1"/>
    <w:rsid w:val="667E12C3"/>
    <w:rsid w:val="66882EA5"/>
    <w:rsid w:val="668B64F1"/>
    <w:rsid w:val="66911D59"/>
    <w:rsid w:val="66925AD1"/>
    <w:rsid w:val="66AA6977"/>
    <w:rsid w:val="66AD08C8"/>
    <w:rsid w:val="66B15F58"/>
    <w:rsid w:val="66BB4497"/>
    <w:rsid w:val="66C14CC1"/>
    <w:rsid w:val="66C67529"/>
    <w:rsid w:val="66CC2D91"/>
    <w:rsid w:val="66DB0F05"/>
    <w:rsid w:val="66EF6A80"/>
    <w:rsid w:val="66F978FF"/>
    <w:rsid w:val="66FB7A23"/>
    <w:rsid w:val="670F1A60"/>
    <w:rsid w:val="67186F4B"/>
    <w:rsid w:val="671E622F"/>
    <w:rsid w:val="671F55B7"/>
    <w:rsid w:val="67206C39"/>
    <w:rsid w:val="67246F56"/>
    <w:rsid w:val="674212A6"/>
    <w:rsid w:val="67564D51"/>
    <w:rsid w:val="6759214B"/>
    <w:rsid w:val="675B4115"/>
    <w:rsid w:val="67670D0C"/>
    <w:rsid w:val="676B5339"/>
    <w:rsid w:val="677551D7"/>
    <w:rsid w:val="67780823"/>
    <w:rsid w:val="67803B7C"/>
    <w:rsid w:val="678673E4"/>
    <w:rsid w:val="678E0047"/>
    <w:rsid w:val="67A27F96"/>
    <w:rsid w:val="67A41618"/>
    <w:rsid w:val="67B13D35"/>
    <w:rsid w:val="67BA0E3C"/>
    <w:rsid w:val="67CE172B"/>
    <w:rsid w:val="67DB0DB2"/>
    <w:rsid w:val="67EB1E68"/>
    <w:rsid w:val="680B5B3B"/>
    <w:rsid w:val="680E2F36"/>
    <w:rsid w:val="68150768"/>
    <w:rsid w:val="681C1771"/>
    <w:rsid w:val="6832131A"/>
    <w:rsid w:val="6835703D"/>
    <w:rsid w:val="683E1A6D"/>
    <w:rsid w:val="687C4343"/>
    <w:rsid w:val="687F2AFC"/>
    <w:rsid w:val="688B27D8"/>
    <w:rsid w:val="688C4647"/>
    <w:rsid w:val="68B47F81"/>
    <w:rsid w:val="68BF2482"/>
    <w:rsid w:val="68CB7079"/>
    <w:rsid w:val="68CD2DF1"/>
    <w:rsid w:val="68FE11FC"/>
    <w:rsid w:val="691B1DAE"/>
    <w:rsid w:val="69205385"/>
    <w:rsid w:val="69216C99"/>
    <w:rsid w:val="69280027"/>
    <w:rsid w:val="693115D2"/>
    <w:rsid w:val="69335FEA"/>
    <w:rsid w:val="6945507D"/>
    <w:rsid w:val="6951757E"/>
    <w:rsid w:val="695312C2"/>
    <w:rsid w:val="695F6C24"/>
    <w:rsid w:val="69684D49"/>
    <w:rsid w:val="698F6A42"/>
    <w:rsid w:val="69B8584F"/>
    <w:rsid w:val="69DC778F"/>
    <w:rsid w:val="69E44896"/>
    <w:rsid w:val="69E830A1"/>
    <w:rsid w:val="69F00E56"/>
    <w:rsid w:val="69F0323B"/>
    <w:rsid w:val="69F525FF"/>
    <w:rsid w:val="69F94AC0"/>
    <w:rsid w:val="69FF522C"/>
    <w:rsid w:val="6A0E546F"/>
    <w:rsid w:val="6A1011E7"/>
    <w:rsid w:val="6A182BB4"/>
    <w:rsid w:val="6A18573A"/>
    <w:rsid w:val="6A2E5B11"/>
    <w:rsid w:val="6A4415E9"/>
    <w:rsid w:val="6A4946F9"/>
    <w:rsid w:val="6A4E1D0F"/>
    <w:rsid w:val="6A5437CA"/>
    <w:rsid w:val="6A5D1F52"/>
    <w:rsid w:val="6A773014"/>
    <w:rsid w:val="6A7C062B"/>
    <w:rsid w:val="6A7F636D"/>
    <w:rsid w:val="6A973924"/>
    <w:rsid w:val="6A980C21"/>
    <w:rsid w:val="6AAD05AB"/>
    <w:rsid w:val="6ACE4215"/>
    <w:rsid w:val="6ADB7A47"/>
    <w:rsid w:val="6AE6019A"/>
    <w:rsid w:val="6AEF52A0"/>
    <w:rsid w:val="6B086362"/>
    <w:rsid w:val="6B0E4BB1"/>
    <w:rsid w:val="6B104EE7"/>
    <w:rsid w:val="6B21034E"/>
    <w:rsid w:val="6B3233DF"/>
    <w:rsid w:val="6B347157"/>
    <w:rsid w:val="6B43383E"/>
    <w:rsid w:val="6B4849B1"/>
    <w:rsid w:val="6B5C220A"/>
    <w:rsid w:val="6B610944"/>
    <w:rsid w:val="6B685053"/>
    <w:rsid w:val="6B6A0DCB"/>
    <w:rsid w:val="6B6F63E1"/>
    <w:rsid w:val="6B7B450B"/>
    <w:rsid w:val="6BA32EA6"/>
    <w:rsid w:val="6BB63F85"/>
    <w:rsid w:val="6BB64010"/>
    <w:rsid w:val="6BBE1869"/>
    <w:rsid w:val="6BC35959"/>
    <w:rsid w:val="6BCB07E7"/>
    <w:rsid w:val="6BCB7ABB"/>
    <w:rsid w:val="6BDA7CFF"/>
    <w:rsid w:val="6BDC3BB6"/>
    <w:rsid w:val="6BE26BB3"/>
    <w:rsid w:val="6C027255"/>
    <w:rsid w:val="6C1C5F3B"/>
    <w:rsid w:val="6C3118E9"/>
    <w:rsid w:val="6C375918"/>
    <w:rsid w:val="6C3D028D"/>
    <w:rsid w:val="6C523D39"/>
    <w:rsid w:val="6C53360D"/>
    <w:rsid w:val="6C6B4DFB"/>
    <w:rsid w:val="6C700663"/>
    <w:rsid w:val="6C732ABA"/>
    <w:rsid w:val="6C877A37"/>
    <w:rsid w:val="6C8D34EE"/>
    <w:rsid w:val="6C8E2897"/>
    <w:rsid w:val="6C9C3206"/>
    <w:rsid w:val="6CA16A6E"/>
    <w:rsid w:val="6CA52BE1"/>
    <w:rsid w:val="6CA94952"/>
    <w:rsid w:val="6CB73B9C"/>
    <w:rsid w:val="6CC10EBE"/>
    <w:rsid w:val="6CE32BE3"/>
    <w:rsid w:val="6CEC3562"/>
    <w:rsid w:val="6CEE3336"/>
    <w:rsid w:val="6CF40198"/>
    <w:rsid w:val="6CFE7A1D"/>
    <w:rsid w:val="6D015F39"/>
    <w:rsid w:val="6D11296F"/>
    <w:rsid w:val="6D1E1E6D"/>
    <w:rsid w:val="6D223437"/>
    <w:rsid w:val="6D2D3E5E"/>
    <w:rsid w:val="6D521B17"/>
    <w:rsid w:val="6D5B09CB"/>
    <w:rsid w:val="6D604233"/>
    <w:rsid w:val="6D623365"/>
    <w:rsid w:val="6D6E3416"/>
    <w:rsid w:val="6D763A57"/>
    <w:rsid w:val="6D7777CF"/>
    <w:rsid w:val="6D7B1816"/>
    <w:rsid w:val="6D853C9A"/>
    <w:rsid w:val="6D9C504D"/>
    <w:rsid w:val="6D9E2FAE"/>
    <w:rsid w:val="6DA560EA"/>
    <w:rsid w:val="6DA87988"/>
    <w:rsid w:val="6DBA30B1"/>
    <w:rsid w:val="6DD32C57"/>
    <w:rsid w:val="6DDA2238"/>
    <w:rsid w:val="6DE309C1"/>
    <w:rsid w:val="6DF469D6"/>
    <w:rsid w:val="6DF826BE"/>
    <w:rsid w:val="6E0A23F1"/>
    <w:rsid w:val="6E132DD6"/>
    <w:rsid w:val="6E1D0376"/>
    <w:rsid w:val="6E217E67"/>
    <w:rsid w:val="6E2C3949"/>
    <w:rsid w:val="6E35746E"/>
    <w:rsid w:val="6E3631E6"/>
    <w:rsid w:val="6E3A4A84"/>
    <w:rsid w:val="6E3E5D92"/>
    <w:rsid w:val="6E405E13"/>
    <w:rsid w:val="6E4E22DE"/>
    <w:rsid w:val="6E4F6056"/>
    <w:rsid w:val="6E565636"/>
    <w:rsid w:val="6E677844"/>
    <w:rsid w:val="6E7046E6"/>
    <w:rsid w:val="6E8403F6"/>
    <w:rsid w:val="6E853783"/>
    <w:rsid w:val="6EA36ACE"/>
    <w:rsid w:val="6EA63EC8"/>
    <w:rsid w:val="6EBF246D"/>
    <w:rsid w:val="6EC802E2"/>
    <w:rsid w:val="6ED074FA"/>
    <w:rsid w:val="6ED30A35"/>
    <w:rsid w:val="6EDC48A6"/>
    <w:rsid w:val="6EE113A4"/>
    <w:rsid w:val="6EEE6E70"/>
    <w:rsid w:val="6EF41EC8"/>
    <w:rsid w:val="6EFC7F8C"/>
    <w:rsid w:val="6F03756C"/>
    <w:rsid w:val="6F073FF2"/>
    <w:rsid w:val="6F190B3E"/>
    <w:rsid w:val="6F345978"/>
    <w:rsid w:val="6F372C75"/>
    <w:rsid w:val="6F394D8D"/>
    <w:rsid w:val="6F5002D8"/>
    <w:rsid w:val="6F67671B"/>
    <w:rsid w:val="6F6D0E8A"/>
    <w:rsid w:val="6F6F4C02"/>
    <w:rsid w:val="6F7E6BF3"/>
    <w:rsid w:val="6F8166E3"/>
    <w:rsid w:val="6F865AA7"/>
    <w:rsid w:val="6F964E3F"/>
    <w:rsid w:val="6F984159"/>
    <w:rsid w:val="6F9D14AD"/>
    <w:rsid w:val="6FA128E1"/>
    <w:rsid w:val="6FA1301D"/>
    <w:rsid w:val="6FCC5BB0"/>
    <w:rsid w:val="6FD9667D"/>
    <w:rsid w:val="6FDA1B07"/>
    <w:rsid w:val="6FDE1F16"/>
    <w:rsid w:val="6FE0165C"/>
    <w:rsid w:val="6FE7269E"/>
    <w:rsid w:val="6FEE4001"/>
    <w:rsid w:val="6FF24B22"/>
    <w:rsid w:val="6FFB6495"/>
    <w:rsid w:val="700E441B"/>
    <w:rsid w:val="70103888"/>
    <w:rsid w:val="7019691C"/>
    <w:rsid w:val="702B4594"/>
    <w:rsid w:val="702E23C7"/>
    <w:rsid w:val="703800AB"/>
    <w:rsid w:val="7043522B"/>
    <w:rsid w:val="705E3501"/>
    <w:rsid w:val="706109EE"/>
    <w:rsid w:val="706F03FE"/>
    <w:rsid w:val="707D6EAA"/>
    <w:rsid w:val="70893AA1"/>
    <w:rsid w:val="70903082"/>
    <w:rsid w:val="70B30B1E"/>
    <w:rsid w:val="70BD7BEF"/>
    <w:rsid w:val="70BF3967"/>
    <w:rsid w:val="70C40F7D"/>
    <w:rsid w:val="70E87D2E"/>
    <w:rsid w:val="710571BE"/>
    <w:rsid w:val="710B6BAC"/>
    <w:rsid w:val="710E65A0"/>
    <w:rsid w:val="71290DE0"/>
    <w:rsid w:val="713E2ADE"/>
    <w:rsid w:val="713E7CD2"/>
    <w:rsid w:val="714A76D4"/>
    <w:rsid w:val="714F4CEB"/>
    <w:rsid w:val="71574E23"/>
    <w:rsid w:val="71630796"/>
    <w:rsid w:val="716342F2"/>
    <w:rsid w:val="7164006A"/>
    <w:rsid w:val="71724535"/>
    <w:rsid w:val="71772037"/>
    <w:rsid w:val="717B5AE0"/>
    <w:rsid w:val="71926986"/>
    <w:rsid w:val="71993C89"/>
    <w:rsid w:val="719A1256"/>
    <w:rsid w:val="71A212BE"/>
    <w:rsid w:val="71AA3CCF"/>
    <w:rsid w:val="71CA4371"/>
    <w:rsid w:val="71DD6189"/>
    <w:rsid w:val="71E2790D"/>
    <w:rsid w:val="71F118FE"/>
    <w:rsid w:val="71F80EDE"/>
    <w:rsid w:val="71FB452B"/>
    <w:rsid w:val="72071122"/>
    <w:rsid w:val="72367C59"/>
    <w:rsid w:val="72386860"/>
    <w:rsid w:val="723B526F"/>
    <w:rsid w:val="724063E2"/>
    <w:rsid w:val="724203AC"/>
    <w:rsid w:val="7258197D"/>
    <w:rsid w:val="72600832"/>
    <w:rsid w:val="72606E27"/>
    <w:rsid w:val="726E16F8"/>
    <w:rsid w:val="72777687"/>
    <w:rsid w:val="727A287F"/>
    <w:rsid w:val="72947D88"/>
    <w:rsid w:val="72964253"/>
    <w:rsid w:val="729C2CCE"/>
    <w:rsid w:val="72BB1F0C"/>
    <w:rsid w:val="72C84E5C"/>
    <w:rsid w:val="72CE783B"/>
    <w:rsid w:val="72DC6FFC"/>
    <w:rsid w:val="72E74AAF"/>
    <w:rsid w:val="72F378F8"/>
    <w:rsid w:val="72F84F0E"/>
    <w:rsid w:val="72FA6191"/>
    <w:rsid w:val="730B69EF"/>
    <w:rsid w:val="731A1328"/>
    <w:rsid w:val="731E2BC7"/>
    <w:rsid w:val="733676C5"/>
    <w:rsid w:val="7338355D"/>
    <w:rsid w:val="734B14E2"/>
    <w:rsid w:val="73612AB3"/>
    <w:rsid w:val="7366631C"/>
    <w:rsid w:val="736C69AB"/>
    <w:rsid w:val="736D3206"/>
    <w:rsid w:val="73797DFD"/>
    <w:rsid w:val="737A7F0F"/>
    <w:rsid w:val="73814F04"/>
    <w:rsid w:val="7394444F"/>
    <w:rsid w:val="73A26C61"/>
    <w:rsid w:val="73B52DFF"/>
    <w:rsid w:val="73CF71CC"/>
    <w:rsid w:val="73E060CE"/>
    <w:rsid w:val="74035F57"/>
    <w:rsid w:val="740858DD"/>
    <w:rsid w:val="741B0EB4"/>
    <w:rsid w:val="741D34F8"/>
    <w:rsid w:val="741E2752"/>
    <w:rsid w:val="743F0E03"/>
    <w:rsid w:val="74424693"/>
    <w:rsid w:val="745148D6"/>
    <w:rsid w:val="7457538A"/>
    <w:rsid w:val="745E6FF3"/>
    <w:rsid w:val="746C550D"/>
    <w:rsid w:val="74850A24"/>
    <w:rsid w:val="74A45EFC"/>
    <w:rsid w:val="74C257D4"/>
    <w:rsid w:val="74D12CB3"/>
    <w:rsid w:val="74DD43BC"/>
    <w:rsid w:val="74EA165E"/>
    <w:rsid w:val="74F26168"/>
    <w:rsid w:val="750162FC"/>
    <w:rsid w:val="751F49D4"/>
    <w:rsid w:val="7524023C"/>
    <w:rsid w:val="75287D2D"/>
    <w:rsid w:val="75364893"/>
    <w:rsid w:val="75410DEE"/>
    <w:rsid w:val="754206C3"/>
    <w:rsid w:val="754C3D9F"/>
    <w:rsid w:val="756C336B"/>
    <w:rsid w:val="756D3991"/>
    <w:rsid w:val="75752846"/>
    <w:rsid w:val="75792336"/>
    <w:rsid w:val="757A4300"/>
    <w:rsid w:val="757C1E26"/>
    <w:rsid w:val="757C3BD5"/>
    <w:rsid w:val="759E7FEF"/>
    <w:rsid w:val="75A86778"/>
    <w:rsid w:val="75AB6268"/>
    <w:rsid w:val="75C17839"/>
    <w:rsid w:val="75C70529"/>
    <w:rsid w:val="75E31EA6"/>
    <w:rsid w:val="75E500BB"/>
    <w:rsid w:val="75F5530C"/>
    <w:rsid w:val="760029C6"/>
    <w:rsid w:val="76004806"/>
    <w:rsid w:val="760F4A49"/>
    <w:rsid w:val="76306360"/>
    <w:rsid w:val="764A00D3"/>
    <w:rsid w:val="765406AD"/>
    <w:rsid w:val="765608C9"/>
    <w:rsid w:val="76562678"/>
    <w:rsid w:val="76634D94"/>
    <w:rsid w:val="7675718E"/>
    <w:rsid w:val="767D0A1A"/>
    <w:rsid w:val="767D522A"/>
    <w:rsid w:val="767D5622"/>
    <w:rsid w:val="76944F4E"/>
    <w:rsid w:val="769D02A6"/>
    <w:rsid w:val="76B35F9D"/>
    <w:rsid w:val="76B924DE"/>
    <w:rsid w:val="76C30EE4"/>
    <w:rsid w:val="76CA6BC2"/>
    <w:rsid w:val="76D0242A"/>
    <w:rsid w:val="76DD4B47"/>
    <w:rsid w:val="76E22B8E"/>
    <w:rsid w:val="76E45ED5"/>
    <w:rsid w:val="76FC2A0E"/>
    <w:rsid w:val="77071BC4"/>
    <w:rsid w:val="77170059"/>
    <w:rsid w:val="77204A34"/>
    <w:rsid w:val="77297D8C"/>
    <w:rsid w:val="772C5186"/>
    <w:rsid w:val="773D7394"/>
    <w:rsid w:val="7750356B"/>
    <w:rsid w:val="77545CF4"/>
    <w:rsid w:val="77562203"/>
    <w:rsid w:val="776A3FFF"/>
    <w:rsid w:val="77740909"/>
    <w:rsid w:val="77822FF8"/>
    <w:rsid w:val="779C40BA"/>
    <w:rsid w:val="779F004E"/>
    <w:rsid w:val="77A358D1"/>
    <w:rsid w:val="77A860A6"/>
    <w:rsid w:val="77AE3DED"/>
    <w:rsid w:val="77D00208"/>
    <w:rsid w:val="77DA2E34"/>
    <w:rsid w:val="77E24E51"/>
    <w:rsid w:val="77F46265"/>
    <w:rsid w:val="780305DD"/>
    <w:rsid w:val="780B56E4"/>
    <w:rsid w:val="780C06F6"/>
    <w:rsid w:val="78210A63"/>
    <w:rsid w:val="78211F6B"/>
    <w:rsid w:val="782A3DBC"/>
    <w:rsid w:val="782F4C1B"/>
    <w:rsid w:val="783C764B"/>
    <w:rsid w:val="784912B7"/>
    <w:rsid w:val="78497836"/>
    <w:rsid w:val="784E31B2"/>
    <w:rsid w:val="785B34DC"/>
    <w:rsid w:val="785D5F3F"/>
    <w:rsid w:val="78770683"/>
    <w:rsid w:val="78857244"/>
    <w:rsid w:val="788A40D3"/>
    <w:rsid w:val="78941235"/>
    <w:rsid w:val="78972AD3"/>
    <w:rsid w:val="78A03774"/>
    <w:rsid w:val="78A84CE1"/>
    <w:rsid w:val="78C14578"/>
    <w:rsid w:val="78CD4747"/>
    <w:rsid w:val="78D6184E"/>
    <w:rsid w:val="78E421BD"/>
    <w:rsid w:val="78E55F35"/>
    <w:rsid w:val="78F65A4C"/>
    <w:rsid w:val="793022A4"/>
    <w:rsid w:val="7931718F"/>
    <w:rsid w:val="79382DC0"/>
    <w:rsid w:val="79395171"/>
    <w:rsid w:val="793952BA"/>
    <w:rsid w:val="793A736F"/>
    <w:rsid w:val="79501926"/>
    <w:rsid w:val="79515378"/>
    <w:rsid w:val="797846B3"/>
    <w:rsid w:val="799D1324"/>
    <w:rsid w:val="79B24069"/>
    <w:rsid w:val="79CA08CA"/>
    <w:rsid w:val="79D54FEF"/>
    <w:rsid w:val="79D762D8"/>
    <w:rsid w:val="79DA7170"/>
    <w:rsid w:val="79ED50A1"/>
    <w:rsid w:val="79F3642F"/>
    <w:rsid w:val="79F75F20"/>
    <w:rsid w:val="7A3902E6"/>
    <w:rsid w:val="7A4F70AE"/>
    <w:rsid w:val="7A5769BE"/>
    <w:rsid w:val="7A6D61E2"/>
    <w:rsid w:val="7A7B26AD"/>
    <w:rsid w:val="7A861051"/>
    <w:rsid w:val="7A8F6158"/>
    <w:rsid w:val="7A923E9A"/>
    <w:rsid w:val="7A9B2D4F"/>
    <w:rsid w:val="7AA65250"/>
    <w:rsid w:val="7AAD4830"/>
    <w:rsid w:val="7AB91427"/>
    <w:rsid w:val="7ABE2599"/>
    <w:rsid w:val="7AC23973"/>
    <w:rsid w:val="7AC57DCC"/>
    <w:rsid w:val="7AD70CC3"/>
    <w:rsid w:val="7AD85D51"/>
    <w:rsid w:val="7ADB3EE9"/>
    <w:rsid w:val="7AE53FCA"/>
    <w:rsid w:val="7AEF309B"/>
    <w:rsid w:val="7AF95CC7"/>
    <w:rsid w:val="7B09415C"/>
    <w:rsid w:val="7B095CB9"/>
    <w:rsid w:val="7B152B01"/>
    <w:rsid w:val="7B18439F"/>
    <w:rsid w:val="7B1E74DC"/>
    <w:rsid w:val="7B354F51"/>
    <w:rsid w:val="7B580C40"/>
    <w:rsid w:val="7B5A49B8"/>
    <w:rsid w:val="7B5A4C4C"/>
    <w:rsid w:val="7B615D46"/>
    <w:rsid w:val="7B672C31"/>
    <w:rsid w:val="7B9939D6"/>
    <w:rsid w:val="7BA568E2"/>
    <w:rsid w:val="7BAE260E"/>
    <w:rsid w:val="7BB3231A"/>
    <w:rsid w:val="7BB57E40"/>
    <w:rsid w:val="7BBB4D2B"/>
    <w:rsid w:val="7BBD6CF5"/>
    <w:rsid w:val="7BCB7664"/>
    <w:rsid w:val="7BE129E3"/>
    <w:rsid w:val="7BE2675B"/>
    <w:rsid w:val="7BEB1AB4"/>
    <w:rsid w:val="7BEC215B"/>
    <w:rsid w:val="7BF24065"/>
    <w:rsid w:val="7BF67457"/>
    <w:rsid w:val="7C0C5586"/>
    <w:rsid w:val="7C0E57A2"/>
    <w:rsid w:val="7C3A20F4"/>
    <w:rsid w:val="7C4D0EAE"/>
    <w:rsid w:val="7C5A6453"/>
    <w:rsid w:val="7C6453C2"/>
    <w:rsid w:val="7C682DAA"/>
    <w:rsid w:val="7C6F4493"/>
    <w:rsid w:val="7C7E0232"/>
    <w:rsid w:val="7C816663"/>
    <w:rsid w:val="7C887A04"/>
    <w:rsid w:val="7CA828C1"/>
    <w:rsid w:val="7CBD0BD2"/>
    <w:rsid w:val="7CE64029"/>
    <w:rsid w:val="7CEC1640"/>
    <w:rsid w:val="7CF14EA8"/>
    <w:rsid w:val="7CF52F76"/>
    <w:rsid w:val="7D144F76"/>
    <w:rsid w:val="7D38737D"/>
    <w:rsid w:val="7D3E5402"/>
    <w:rsid w:val="7D515947"/>
    <w:rsid w:val="7D553689"/>
    <w:rsid w:val="7D586CD5"/>
    <w:rsid w:val="7D6B5370"/>
    <w:rsid w:val="7D7004C3"/>
    <w:rsid w:val="7D823D52"/>
    <w:rsid w:val="7D85033F"/>
    <w:rsid w:val="7D923E44"/>
    <w:rsid w:val="7D9615AC"/>
    <w:rsid w:val="7DA63EE4"/>
    <w:rsid w:val="7DAA5057"/>
    <w:rsid w:val="7DB01635"/>
    <w:rsid w:val="7DB859C6"/>
    <w:rsid w:val="7DBA173E"/>
    <w:rsid w:val="7DC73E5B"/>
    <w:rsid w:val="7DE20782"/>
    <w:rsid w:val="7DED3840"/>
    <w:rsid w:val="7DF804B8"/>
    <w:rsid w:val="7E05083C"/>
    <w:rsid w:val="7E09286B"/>
    <w:rsid w:val="7E0E1A8A"/>
    <w:rsid w:val="7E24305B"/>
    <w:rsid w:val="7E421789"/>
    <w:rsid w:val="7E5557C4"/>
    <w:rsid w:val="7E8104AE"/>
    <w:rsid w:val="7E8B4E88"/>
    <w:rsid w:val="7E8B7B2E"/>
    <w:rsid w:val="7E935CDA"/>
    <w:rsid w:val="7EA45F4A"/>
    <w:rsid w:val="7EB119EA"/>
    <w:rsid w:val="7EB268B9"/>
    <w:rsid w:val="7EC5039A"/>
    <w:rsid w:val="7EC53426"/>
    <w:rsid w:val="7EC62364"/>
    <w:rsid w:val="7ECF64BC"/>
    <w:rsid w:val="7EF317E1"/>
    <w:rsid w:val="7EFC1C0D"/>
    <w:rsid w:val="7EFF3C5A"/>
    <w:rsid w:val="7F0C421B"/>
    <w:rsid w:val="7F15170F"/>
    <w:rsid w:val="7F1B620C"/>
    <w:rsid w:val="7F1D01D6"/>
    <w:rsid w:val="7F315A30"/>
    <w:rsid w:val="7F6D458E"/>
    <w:rsid w:val="7F6E0A32"/>
    <w:rsid w:val="7F7E30AB"/>
    <w:rsid w:val="7F8E65D6"/>
    <w:rsid w:val="7F9566FB"/>
    <w:rsid w:val="7F983D01"/>
    <w:rsid w:val="7F9D431D"/>
    <w:rsid w:val="7FC92F47"/>
    <w:rsid w:val="7FD05249"/>
    <w:rsid w:val="7FD12A2B"/>
    <w:rsid w:val="7FD30895"/>
    <w:rsid w:val="7FE107B1"/>
    <w:rsid w:val="7FE62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_GB2312" w:cstheme="minorBidi"/>
      <w:kern w:val="2"/>
      <w:sz w:val="32"/>
      <w:szCs w:val="32"/>
      <w:lang w:val="en-US" w:eastAsia="zh-CN" w:bidi="ar-SA"/>
    </w:rPr>
  </w:style>
  <w:style w:type="paragraph" w:styleId="7">
    <w:name w:val="heading 1"/>
    <w:basedOn w:val="1"/>
    <w:next w:val="1"/>
    <w:qFormat/>
    <w:uiPriority w:val="0"/>
    <w:pPr>
      <w:keepNext/>
      <w:keepLines/>
      <w:numPr>
        <w:ilvl w:val="0"/>
        <w:numId w:val="0"/>
      </w:numPr>
      <w:adjustRightInd w:val="0"/>
      <w:spacing w:beforeLines="0" w:beforeAutospacing="0" w:afterLines="0" w:afterAutospacing="0" w:line="360" w:lineRule="auto"/>
      <w:jc w:val="center"/>
      <w:outlineLvl w:val="0"/>
    </w:pPr>
    <w:rPr>
      <w:rFonts w:ascii="Times New Roman" w:hAnsi="Times New Roman" w:eastAsia="黑体"/>
      <w:kern w:val="44"/>
    </w:rPr>
  </w:style>
  <w:style w:type="paragraph" w:styleId="8">
    <w:name w:val="heading 2"/>
    <w:basedOn w:val="1"/>
    <w:next w:val="1"/>
    <w:unhideWhenUsed/>
    <w:qFormat/>
    <w:uiPriority w:val="0"/>
    <w:pPr>
      <w:keepNext/>
      <w:keepLines/>
      <w:numPr>
        <w:ilvl w:val="0"/>
        <w:numId w:val="1"/>
      </w:numPr>
      <w:spacing w:beforeLines="0" w:beforeAutospacing="0" w:afterLines="0" w:afterAutospacing="0" w:line="360" w:lineRule="auto"/>
      <w:outlineLvl w:val="1"/>
    </w:pPr>
    <w:rPr>
      <w:rFonts w:eastAsia="楷体"/>
    </w:rPr>
  </w:style>
  <w:style w:type="paragraph" w:styleId="9">
    <w:name w:val="heading 3"/>
    <w:basedOn w:val="1"/>
    <w:next w:val="1"/>
    <w:unhideWhenUsed/>
    <w:qFormat/>
    <w:uiPriority w:val="0"/>
    <w:pPr>
      <w:keepNext/>
      <w:keepLines/>
      <w:numPr>
        <w:ilvl w:val="0"/>
        <w:numId w:val="2"/>
      </w:numPr>
      <w:spacing w:beforeLines="0" w:beforeAutospacing="0" w:afterLines="0" w:afterAutospacing="0" w:line="360" w:lineRule="auto"/>
      <w:ind w:left="0" w:firstLine="880" w:firstLineChars="200"/>
      <w:outlineLvl w:val="2"/>
    </w:pPr>
    <w:rPr>
      <w:b/>
      <w:bCs/>
    </w:rPr>
  </w:style>
  <w:style w:type="paragraph" w:styleId="10">
    <w:name w:val="heading 4"/>
    <w:basedOn w:val="1"/>
    <w:next w:val="1"/>
    <w:semiHidden/>
    <w:unhideWhenUsed/>
    <w:qFormat/>
    <w:uiPriority w:val="0"/>
    <w:pPr>
      <w:keepNext/>
      <w:keepLines/>
      <w:spacing w:beforeLines="0" w:beforeAutospacing="0" w:afterLines="0" w:afterAutospacing="0" w:line="360" w:lineRule="auto"/>
      <w:outlineLvl w:val="3"/>
    </w:p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unhideWhenUsed/>
    <w:qFormat/>
    <w:uiPriority w:val="99"/>
    <w:pPr>
      <w:ind w:firstLine="420" w:firstLineChars="100"/>
    </w:pPr>
  </w:style>
  <w:style w:type="paragraph" w:styleId="3">
    <w:name w:val="Body Text"/>
    <w:basedOn w:val="1"/>
    <w:next w:val="4"/>
    <w:qFormat/>
    <w:uiPriority w:val="0"/>
    <w:pPr>
      <w:numPr>
        <w:ilvl w:val="0"/>
        <w:numId w:val="0"/>
      </w:numPr>
      <w:spacing w:afterLines="0" w:afterAutospacing="0" w:line="560" w:lineRule="exact"/>
      <w:ind w:firstLine="880" w:firstLineChars="200"/>
    </w:pPr>
    <w:rPr>
      <w:rFonts w:ascii="Times New Roman" w:hAnsi="Times New Roman" w:eastAsia="仿宋_GB2312"/>
    </w:rPr>
  </w:style>
  <w:style w:type="paragraph" w:styleId="4">
    <w:name w:val="Body Text 2"/>
    <w:basedOn w:val="1"/>
    <w:qFormat/>
    <w:uiPriority w:val="0"/>
    <w:pPr>
      <w:widowControl/>
      <w:numPr>
        <w:ilvl w:val="0"/>
        <w:numId w:val="3"/>
      </w:numPr>
      <w:spacing w:before="50" w:beforeLines="50" w:line="336" w:lineRule="auto"/>
      <w:ind w:left="0" w:firstLine="0"/>
    </w:pPr>
    <w:rPr>
      <w:rFonts w:ascii="Times New Roman" w:hAnsi="Times New Roman" w:eastAsia="仿宋_GB2312" w:cs="仿宋"/>
      <w:kern w:val="0"/>
      <w:szCs w:val="20"/>
      <w:lang w:val="en-GB" w:eastAsia="en-US"/>
    </w:rPr>
  </w:style>
  <w:style w:type="paragraph" w:styleId="5">
    <w:name w:val="Body Text First Indent 2"/>
    <w:basedOn w:val="6"/>
    <w:qFormat/>
    <w:uiPriority w:val="0"/>
    <w:pPr>
      <w:tabs>
        <w:tab w:val="left" w:pos="0"/>
      </w:tabs>
      <w:ind w:firstLine="420" w:firstLineChars="200"/>
    </w:pPr>
  </w:style>
  <w:style w:type="paragraph" w:styleId="6">
    <w:name w:val="Body Text Indent"/>
    <w:basedOn w:val="1"/>
    <w:qFormat/>
    <w:uiPriority w:val="99"/>
    <w:pPr>
      <w:spacing w:after="0"/>
      <w:ind w:firstLine="560" w:firstLineChars="200"/>
    </w:pPr>
    <w:rPr>
      <w:rFonts w:ascii="仿宋_GB2312" w:hAnsi="Times New Roman" w:eastAsia="仿宋_GB2312"/>
      <w:kern w:val="0"/>
      <w:sz w:val="28"/>
      <w:szCs w:val="28"/>
    </w:rPr>
  </w:style>
  <w:style w:type="paragraph" w:styleId="11">
    <w:name w:val="caption"/>
    <w:basedOn w:val="1"/>
    <w:next w:val="1"/>
    <w:unhideWhenUsed/>
    <w:qFormat/>
    <w:uiPriority w:val="0"/>
    <w:rPr>
      <w:rFonts w:ascii="Arial" w:hAnsi="Arial" w:eastAsia="黑体"/>
      <w:sz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itle"/>
    <w:basedOn w:val="1"/>
    <w:qFormat/>
    <w:uiPriority w:val="0"/>
    <w:pPr>
      <w:spacing w:beforeLines="0" w:beforeAutospacing="0" w:afterLines="0" w:afterAutospacing="0" w:line="640" w:lineRule="exact"/>
      <w:ind w:firstLine="0" w:firstLineChars="0"/>
      <w:jc w:val="center"/>
      <w:outlineLvl w:val="0"/>
    </w:pPr>
    <w:rPr>
      <w:rFonts w:eastAsia="方正小标宋简体"/>
      <w:sz w:val="44"/>
      <w:szCs w:val="44"/>
    </w:rPr>
  </w:style>
  <w:style w:type="character" w:styleId="17">
    <w:name w:val="Strong"/>
    <w:basedOn w:val="16"/>
    <w:qFormat/>
    <w:uiPriority w:val="0"/>
    <w:rPr>
      <w:b/>
    </w:rPr>
  </w:style>
  <w:style w:type="paragraph" w:customStyle="1" w:styleId="18">
    <w:name w:val="条例文本"/>
    <w:basedOn w:val="1"/>
    <w:qFormat/>
    <w:uiPriority w:val="0"/>
    <w:pPr>
      <w:numPr>
        <w:ilvl w:val="0"/>
        <w:numId w:val="4"/>
      </w:numPr>
      <w:ind w:left="0" w:firstLine="880" w:firstLineChars="200"/>
    </w:pPr>
  </w:style>
  <w:style w:type="paragraph" w:customStyle="1" w:styleId="19">
    <w:name w:val="表格"/>
    <w:basedOn w:val="1"/>
    <w:qFormat/>
    <w:uiPriority w:val="0"/>
    <w:pPr>
      <w:widowControl/>
      <w:spacing w:line="240" w:lineRule="auto"/>
      <w:ind w:firstLine="0" w:firstLineChars="0"/>
      <w:jc w:val="center"/>
      <w:textAlignment w:val="center"/>
    </w:pPr>
    <w:rPr>
      <w:rFonts w:hint="eastAsia" w:ascii="Times New Roman" w:hAnsi="Times New Roman" w:eastAsia="仿宋_GB2312" w:cs="Times New Roman"/>
      <w:color w:val="000000"/>
      <w:kern w:val="0"/>
      <w:sz w:val="24"/>
      <w:szCs w:val="24"/>
      <w:u w:val="none"/>
      <w:lang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7f92cbc3-f5d8-4526-9544-1e5d7e7064f1</errorID>
      <errorWord>为</errorWord>
      <group>L1_Word</group>
      <groupName>字词问题</groupName>
      <ability>L2_Typo</ability>
      <abilityName>字词错误</abilityName>
      <candidateList>
        <item> 为</item>
      </candidateList>
      <explain/>
      <paraID>54D96BB1</paraID>
      <start>0</start>
      <end>1</end>
      <status>unmodified</status>
      <modifiedWord/>
      <trackRevisions>false</trackRevisions>
    </reviewItem>
    <reviewItem>
      <errorID>01e33ae2-41d5-49e2-a933-354402c005d1</errorID>
      <errorWord>9</errorWord>
      <group>L1_Format</group>
      <groupName>格式问题</groupName>
      <ability>L2_Ordinal</ability>
      <abilityName>序号格式</abilityName>
      <candidateList>
        <item>6</item>
      </candidateList>
      <explain>标题顺序错误，请检查标题顺序是否合理。</explain>
      <paraID>54D96BB1</paraID>
      <start>83</start>
      <end>84</end>
      <status>ignored</status>
      <modifiedWord/>
      <trackRevisions>false</trackRevisions>
    </reviewItem>
    <reviewItem>
      <errorID>412e46cf-6128-47c8-a41a-ccbd7db57c77</errorID>
      <errorWord>13</errorWord>
      <group>L1_Format</group>
      <groupName>格式问题</groupName>
      <ability>L2_Ordinal</ability>
      <abilityName>序号格式</abilityName>
      <candidateList>
        <item>10</item>
      </candidateList>
      <explain>标题顺序错误，请检查标题顺序是否合理。</explain>
      <paraID>54D96BB1</paraID>
      <start>183</start>
      <end>185</end>
      <status>unmodified</status>
      <modifiedWord/>
      <trackRevisions>false</trackRevisions>
    </reviewItem>
    <reviewItem>
      <errorID>d6c00566-ea67-46c2-b544-b8fcb0119836</errorID>
      <errorWord>6</errorWord>
      <group>L1_Format</group>
      <groupName>格式问题</groupName>
      <ability>L2_Ordinal</ability>
      <abilityName>序号格式</abilityName>
      <candidateList>
        <item>5</item>
      </candidateList>
      <explain>标题顺序错误，请检查标题顺序是否合理。</explain>
      <paraID>54D96BB1</paraID>
      <start>187</start>
      <end>188</end>
      <status>ignored</status>
      <modifiedWord/>
      <trackRevisions>false</trackRevisions>
    </reviewItem>
    <reviewItem>
      <errorID>69688889-4d14-45e4-aa19-6b9cd4f5711f</errorID>
      <errorWord>本</errorWord>
      <group>L1_Word</group>
      <groupName>字词问题</groupName>
      <ability>L2_Typo</ability>
      <abilityName>字词错误</abilityName>
      <candidateList>
        <item> 本</item>
      </candidateList>
      <explain/>
      <paraID>2C9E5008</paraID>
      <start>0</start>
      <end>1</end>
      <status>ignored</status>
      <modifiedWord/>
      <trackRevisions>false</trackRevisions>
    </reviewItem>
    <reviewItem>
      <errorID>ec4c07b8-7115-4f67-9fa4-1adc0dbb8444</errorID>
      <errorWord>城市</errorWord>
      <group>L1_Word</group>
      <groupName>字词问题</groupName>
      <ability>L2_Typo</ability>
      <abilityName>字词错误</abilityName>
      <candidateList>
        <item> 城市</item>
      </candidateList>
      <explain/>
      <paraID>3050DE6F</paraID>
      <start>0</start>
      <end>2</end>
      <status>ignored</status>
      <modifiedWord/>
      <trackRevisions>false</trackRevisions>
    </reviewItem>
    <reviewItem>
      <errorID>e54cf10c-eccb-44df-8f7f-59b816e12482</errorID>
      <errorWord>。</errorWord>
      <group>L1_Punc</group>
      <groupName>标点问题</groupName>
      <ability>L2_Punc_CN</ability>
      <abilityName>标点符号问题</abilityName>
      <candidateList>
        <item>：</item>
      </candidateList>
      <explain/>
      <paraID>30A38F99</paraID>
      <start>8</start>
      <end>9</end>
      <status>ignored</status>
      <modifiedWord/>
      <trackRevisions>false</trackRevisions>
    </reviewItem>
    <reviewItem>
      <errorID>d77e8fa6-8664-4895-9763-7faaa9eac3d9</errorID>
      <errorWord>。</errorWord>
      <group>L1_Punc</group>
      <groupName>标点问题</groupName>
      <ability>L2_Punc_CN</ability>
      <abilityName>标点符号问题</abilityName>
      <candidateList>
        <item>：</item>
      </candidateList>
      <explain/>
      <paraID>75C8EA16</paraID>
      <start>8</start>
      <end>9</end>
      <status>unmodified</status>
      <modifiedWord/>
      <trackRevisions>false</trackRevisions>
    </reviewItem>
    <reviewItem>
      <errorID>e54d9d88-a836-4351-baa8-30f6c8b1291a</errorID>
      <errorWord>。</errorWord>
      <group>L1_Punc</group>
      <groupName>标点问题</groupName>
      <ability>L2_Punc_CN</ability>
      <abilityName>标点符号问题</abilityName>
      <candidateList>
        <item>：</item>
      </candidateList>
      <explain/>
      <paraID>3A962D7A</paraID>
      <start>8</start>
      <end>9</end>
      <status>unmodified</status>
      <modifiedWord/>
      <trackRevisions>false</trackRevisions>
    </reviewItem>
    <reviewItem>
      <errorID>47c198d4-73ed-4bbb-b024-eca07b8afa4f</errorID>
      <errorWord>。</errorWord>
      <group>L1_Punc</group>
      <groupName>标点问题</groupName>
      <ability>L2_Punc_CN</ability>
      <abilityName>标点符号问题</abilityName>
      <candidateList>
        <item>：</item>
      </candidateList>
      <explain/>
      <paraID>627F4239</paraID>
      <start>8</start>
      <end>9</end>
      <status>unmodified</status>
      <modifiedWord/>
      <trackRevisions>false</trackRevisions>
    </reviewItem>
    <reviewItem>
      <errorID>195c4691-c408-4d1e-ba14-f7eeb6c49d8a</errorID>
      <errorWord>公交</errorWord>
      <group>L1_Word</group>
      <groupName>字词问题</groupName>
      <ability>L2_Typo</ability>
      <abilityName>字词错误</abilityName>
      <candidateList>
        <item> 公交</item>
      </candidateList>
      <explain/>
      <paraID>163A4435</paraID>
      <start>0</start>
      <end>2</end>
      <status>ignored</status>
      <modifiedWord/>
      <trackRevisions>false</trackRevisions>
    </reviewItem>
    <reviewItem>
      <errorID>c181d2e1-8933-4941-b663-3689f0b4fc96</errorID>
      <errorWord>人员</errorWord>
      <group>L1_Word</group>
      <groupName>字词问题</groupName>
      <ability>L2_Typo</ability>
      <abilityName>字词错误</abilityName>
      <candidateList>
        <item>的人员</item>
      </candidateList>
      <explain/>
      <paraID>3AC3B2C7</paraID>
      <start>17</start>
      <end>19</end>
      <status>unmodified</status>
      <modifiedWord/>
      <trackRevisions>false</trackRevisions>
    </reviewItem>
    <reviewItem>
      <errorID>393e1836-4057-41ce-95ac-d61700ad5abd</errorID>
      <errorWord>提供</errorWord>
      <group>L1_Word</group>
      <groupName>字词问题</groupName>
      <ability>L2_Typo</ability>
      <abilityName>字词错误</abilityName>
      <candidateList>
        <item>为提供</item>
      </candidateList>
      <explain/>
      <paraID>12156D58</paraID>
      <start>6</start>
      <end>9</end>
      <status>modified</status>
      <modifiedWord>为提供</modifiedWord>
      <trackRevisions>false</trackRevisions>
    </reviewItem>
    <reviewItem>
      <errorID>33337dd7-7aa4-48ed-958e-8a596e24b208</errorID>
      <errorWord>管理费用</errorWord>
      <group>L1_Other</group>
      <groupName>其他问题</groupName>
      <ability>L2_Consistency</ability>
      <abilityName>一致性检查</abilityName>
      <candidateList/>
      <explain>术语一致性错误，前文成本构成章节中，管理费用归类为期间费用，不属于直接运营成本下的明细项，此处将管理费用列为直接运营成本的第九项，前后分类不一致</explain>
      <paraID>23F336FA</paraID>
      <start>0</start>
      <end>4</end>
      <status>unmodified</status>
      <modifiedWord/>
      <trackRevisions>false</trackRevisions>
    </reviewItem>
    <reviewItem>
      <errorID>f60473a1-00b4-4637-811d-c53069ce04b9</errorID>
      <errorWord>财务费用</errorWord>
      <group>L1_Other</group>
      <groupName>其他问题</groupName>
      <ability>L2_Consistency</ability>
      <abilityName>一致性检查</abilityName>
      <candidateList/>
      <explain>术语一致性错误，前文成本构成章节中，财务费用归类为期间费用，不属于直接运营成本下的明细项，此处将财务费用列为直接运营成本的第十项，前后分类不一致</explain>
      <paraID>6945B93A</paraID>
      <start>0</start>
      <end>4</end>
      <status>unmodified</status>
      <modifiedWord/>
      <trackRevisions>false</trackRevisions>
    </reviewItem>
    <reviewItem>
      <errorID>3db6c6a1-9b3a-44db-90fa-58c8b0abe0e3</errorID>
      <errorWord>税金及附加</errorWord>
      <group>L1_Other</group>
      <groupName>其他问题</groupName>
      <ability>L2_Consistency</ability>
      <abilityName>一致性检查</abilityName>
      <candidateList/>
      <explain>术语一致性错误，前文成本构成章节中，税金及附加是与直接运营成本、期间费用并列的成本组成部分，不属于直接运营成本下的明细项，此处将税金及附加列为直接运营成本的第十一项，前后分类不一致</explain>
      <paraID>53FE1CA3</paraID>
      <start>0</start>
      <end>5</end>
      <status>unmodified</status>
      <modifiedWord/>
      <trackRevisions>false</trackRevisions>
    </reviewItem>
    <reviewItem>
      <errorID>62565728-1ac2-4c19-8318-a5a92086d5a3</errorID>
      <errorWord>不得</errorWord>
      <group>L1_Word</group>
      <groupName>字词问题</groupName>
      <ability>L2_Typo</ability>
      <abilityName>字词错误</abilityName>
      <candidateList>
        <item> 不得</item>
      </candidateList>
      <explain/>
      <paraID>3A419B39</paraID>
      <start>0</start>
      <end>2</end>
      <status>unmodified</status>
      <modifiedWord/>
      <trackRevisions>false</trackRevisions>
    </reviewItem>
    <reviewItem>
      <errorID>875f5b3c-cbf2-4720-b30d-19aff9d4099a</errorID>
      <errorWord>不</errorWord>
      <group>L1_Word</group>
      <groupName>字词问题</groupName>
      <ability>L2_Typo</ability>
      <abilityName>字词错误</abilityName>
      <candidateList>
        <item> 不</item>
      </candidateList>
      <explain/>
      <paraID>54FBA4D5</paraID>
      <start>2</start>
      <end>3</end>
      <status>unmodified</status>
      <modifiedWord/>
      <trackRevisions>false</trackRevisions>
    </reviewItem>
    <reviewItem>
      <errorID>8ea6289e-fb0a-45cb-9b24-a6dcba06d5f1</errorID>
      <errorWord>，</errorWord>
      <group>L1_Word</group>
      <groupName>字词问题</groupName>
      <ability>L2_Typo</ability>
      <abilityName>字词错误</abilityName>
      <candidateList>
        <item>和</item>
      </candidateList>
      <explain/>
      <paraID>54FBA4D5</paraID>
      <start>27</start>
      <end>28</end>
      <status>unmodified</status>
      <modifiedWord/>
      <trackRevisions>false</trackRevisions>
    </reviewItem>
    <reviewItem>
      <errorID>55d8fdef-4932-4885-a0cc-2bc342cc409a</errorID>
      <errorWord>和</errorWord>
      <group>L1_Word</group>
      <groupName>字词问题</groupName>
      <ability>L2_Typo</ability>
      <abilityName>字词错误</abilityName>
      <candidateList>
        <item>、</item>
      </candidateList>
      <explain/>
      <paraID>54FBA4D5</paraID>
      <start>32</start>
      <end>33</end>
      <status>unmodified</status>
      <modifiedWord/>
      <trackRevisions>false</trackRevisions>
    </reviewItem>
    <reviewItem>
      <errorID>3f02008c-7e9e-4cf3-a46f-3d2cca58d3ca</errorID>
      <errorWord>的</errorWord>
      <group>L1_Grammar</group>
      <groupName>语法问题</groupName>
      <ability>L2_Grammar</ability>
      <abilityName>语法错误</abilityName>
      <candidateList>
        <item>规定的</item>
      </candidateList>
      <explain/>
      <paraID>54FBA4D5</paraID>
      <start>42</start>
      <end>43</end>
      <status>unmodified</status>
      <modifiedWord/>
      <trackRevisions>false</trackRevisions>
    </reviewItem>
    <reviewItem>
      <errorID>195cdc5f-ec56-46ca-a29e-e0b9912b739c</errorID>
      <errorWord>（</errorWord>
      <group>L1_Punc</group>
      <groupName>标点问题</groupName>
      <ability>L2_Punc_CN</ability>
      <abilityName>标点符号问题</abilityName>
      <candidateList/>
      <explain>同一形式括号套用。</explain>
      <paraID> F556C90</paraID>
      <start>34</start>
      <end>35</end>
      <status>unmodified</status>
      <modifiedWord/>
      <trackRevisions>false</trackRevisions>
    </reviewItem>
    <reviewItem>
      <errorID>2adcb992-1db4-44f8-86c3-f00585759166</errorID>
      <errorWord>）</errorWord>
      <group>L1_Punc</group>
      <groupName>标点问题</groupName>
      <ability>L2_Punc_CN</ability>
      <abilityName>标点符号问题</abilityName>
      <candidateList/>
      <explain>同一形式括号套用。</explain>
      <paraID> F556C90</paraID>
      <start>41</start>
      <end>42</end>
      <status>unmodified</status>
      <modifiedWord/>
      <trackRevisions>false</trackRevisions>
    </reviewItem>
    <reviewItem>
      <errorID>71ac9209-88cb-442b-aa30-b20d5729e080</errorID>
      <errorWord>保险费和事故损失费</errorWord>
      <group>L1_Other</group>
      <groupName>其他问题</groupName>
      <ability>L2_Consistency</ability>
      <abilityName>一致性检查</abilityName>
      <candidateList>
        <item>保险与事故损失费</item>
      </candidateList>
      <explain>术语一致性错误，前文成本构成中该项目统一使用“保险与事故损失费”的表述，此处表述不一致</explain>
      <paraID>31BE4871</paraID>
      <start>0</start>
      <end>9</end>
      <status>unmodified</status>
      <modifiedWord/>
      <trackRevisions>false</trackRevisions>
    </reviewItem>
    <reviewItem>
      <errorID>17408202-e287-4fd7-b690-46c2f84dfc6b</errorID>
      <errorWord> </errorWord>
      <group>L1_Punc</group>
      <groupName>标点问题</groupName>
      <ability>L2_Punc_CN</ability>
      <abilityName>标点符号问题</abilityName>
      <candidateList>
        <item>·</item>
      </candidateList>
      <explain/>
      <paraID>692613C1</paraID>
      <start>67</start>
      <end>68</end>
      <status>unmodified</status>
      <modifiedWord/>
      <trackRevisions>false</trackRevisions>
    </reviewItem>
    <reviewItem>
      <errorID>fe275896-68ba-4818-bfa4-13709d876c6b</errorID>
      <errorWord>管理费用</errorWord>
      <group>L1_Other</group>
      <groupName>其他问题</groupName>
      <ability>L2_Consistency</ability>
      <abilityName>一致性检查</abilityName>
      <candidateList/>
      <explain>术语一致性错误，前文成本构成章节中，管理费用归类为期间费用，不属于直接运营成本下的明细项，此处将管理费用列为直接运营成本的第九项，前后分类不一致</explain>
      <paraID> 18B33AB</paraID>
      <start>0</start>
      <end>4</end>
      <status>unmodified</status>
      <modifiedWord/>
      <trackRevisions>false</trackRevisions>
    </reviewItem>
    <reviewItem>
      <errorID>93722749-cfbe-4418-82ed-5e96ab770a20</errorID>
      <errorWord>财务费用</errorWord>
      <group>L1_Other</group>
      <groupName>其他问题</groupName>
      <ability>L2_Consistency</ability>
      <abilityName>一致性检查</abilityName>
      <candidateList/>
      <explain>术语一致性错误，前文成本构成章节中，财务费用归类为期间费用，不属于直接运营成本下的明细项，此处将财务费用列为直接运营成本的第十项，前后分类不一致</explain>
      <paraID>693C1C6E</paraID>
      <start>0</start>
      <end>4</end>
      <status>unmodified</status>
      <modifiedWord/>
      <trackRevisions>false</trackRevisions>
    </reviewItem>
    <reviewItem>
      <errorID>072c5650-fcaa-41f5-a538-b76f23c67722</errorID>
      <errorWord>税金及附加</errorWord>
      <group>L1_Other</group>
      <groupName>其他问题</groupName>
      <ability>L2_Consistency</ability>
      <abilityName>一致性检查</abilityName>
      <candidateList/>
      <explain>术语一致性错误，前文成本构成章节中，税金及附加是与直接运营成本、期间费用并列的成本组成部分，不属于直接运营成本下的明细项，此处将税金及附加列为直接运营成本的第十一项，前后分类不一致</explain>
      <paraID>546D91A0</paraID>
      <start>0</start>
      <end>5</end>
      <status>unmodified</status>
      <modifiedWord/>
      <trackRevisions>false</trackRevisions>
    </reviewItem>
    <reviewItem>
      <errorID>62d00d6c-5fb8-4321-adc9-8f1fcb24102d</errorID>
      <errorWord>考虑</errorWord>
      <group>L1_Word</group>
      <groupName>字词问题</groupName>
      <ability>L2_Typo</ability>
      <abilityName>字词错误</abilityName>
      <candidateList>
        <item> 考虑</item>
      </candidateList>
      <explain/>
      <paraID>2C6917FD</paraID>
      <start>0</start>
      <end>2</end>
      <status>unmodified</status>
      <modifiedWord/>
      <trackRevisions>false</trackRevisions>
    </reviewItem>
    <reviewItem>
      <errorID>4ad2f537-ea6b-4df4-b24e-f3c8d47b5058</errorID>
      <errorWord>对</errorWord>
      <group>L1_Grammar</group>
      <groupName>语法问题</groupName>
      <ability>L2_Grammar</ability>
      <abilityName>语法错误</abilityName>
      <candidateList>
        <item>后，对</item>
      </candidateList>
      <explain/>
      <paraID>2C6917FD</paraID>
      <start>103</start>
      <end>104</end>
      <status>unmodified</status>
      <modifiedWord/>
      <trackRevisions>false</trackRevisions>
    </reviewItem>
    <reviewItem>
      <errorID>1c4d549e-684c-4048-b3ee-c9d467da89be</errorID>
      <errorWord>12</errorWord>
      <group>L1_Format</group>
      <groupName>格式问题</groupName>
      <ability>L2_Ordinal</ability>
      <abilityName>序号格式</abilityName>
      <candidateList>
        <item>9</item>
      </candidateList>
      <explain>标题顺序错误，请检查标题顺序是否合理。</explain>
      <paraID>404C9C52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7080ce-6426-4799-b95c-4a0895b9230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4483</Words>
  <Characters>4791</Characters>
  <Lines>0</Lines>
  <Paragraphs>0</Paragraphs>
  <TotalTime>4</TotalTime>
  <ScaleCrop>false</ScaleCrop>
  <LinksUpToDate>false</LinksUpToDate>
  <CharactersWithSpaces>4820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2025-12-01T03:03:00Z</dcterms:created>
  <dc:creator>Administrator</dc:creator>
  <cp:lastModifiedBy>farewell</cp:lastModifiedBy>
  <cp:lastPrinted>2026-05-08T06:23:00Z</cp:lastPrinted>
  <dcterms:modified xsi:type="dcterms:W3CDTF">2026-06-30T09:02:07Z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499A0D4E7F1645A4976FC6046914D7CC_13</vt:lpwstr>
  </property>
  <property fmtid="{D5CDD505-2E9C-101B-9397-08002B2CF9AE}" pid="4" name="KSOTemplateDocerSaveRecord">
    <vt:lpwstr>eyJoZGlkIjoiODU0ODRiNzFmZDAyMDE1ZTZhODhiMTllMjY3M2U2MGQiLCJ1c2VySWQiOiI3MDUwODMwODgifQ==</vt:lpwstr>
  </property>
</Properties>
</file>