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61" w:beforeLines="50" w:line="600" w:lineRule="exact"/>
        <w:ind w:firstLine="0" w:firstLineChars="0"/>
        <w:jc w:val="center"/>
        <w:textAlignment w:val="auto"/>
        <w:rPr>
          <w:rFonts w:ascii="Calibri" w:eastAsia="宋体"/>
          <w:b/>
          <w:bCs/>
          <w:color w:val="FF0000"/>
          <w:sz w:val="44"/>
          <w:szCs w:val="44"/>
        </w:rPr>
      </w:pPr>
      <w:r>
        <w:rPr>
          <w:rStyle w:val="6"/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关于202</w:t>
      </w:r>
      <w:r>
        <w:rPr>
          <w:rStyle w:val="6"/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/>
        </w:rPr>
        <w:t>2</w:t>
      </w:r>
      <w:r>
        <w:rPr>
          <w:rStyle w:val="6"/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年</w:t>
      </w:r>
      <w:r>
        <w:rPr>
          <w:rStyle w:val="6"/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eastAsia="zh-CN"/>
        </w:rPr>
        <w:t>伊州区</w:t>
      </w:r>
      <w:r>
        <w:rPr>
          <w:rStyle w:val="6"/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决算的报告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bidi w:val="0"/>
        <w:adjustRightInd/>
        <w:snapToGrid/>
        <w:spacing w:line="560" w:lineRule="exact"/>
        <w:jc w:val="center"/>
        <w:textAlignment w:val="auto"/>
        <w:rPr>
          <w:rFonts w:ascii="仿宋_GB2312" w:hAnsi="仿宋_GB2312" w:eastAsia="仿宋_GB2312" w:cs="仿宋_GB2312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both"/>
        <w:textAlignment w:val="auto"/>
        <w:rPr>
          <w:rFonts w:hint="eastAsia" w:ascii="仿宋_GB2312" w:hAnsi="仿宋_GB2312" w:eastAsia="楷体_GB2312" w:cs="仿宋_GB2312"/>
          <w:sz w:val="32"/>
          <w:szCs w:val="32"/>
          <w:lang w:val="en-US" w:eastAsia="zh-CN"/>
        </w:rPr>
      </w:pPr>
      <w:r>
        <w:rPr>
          <w:rFonts w:hint="eastAsia" w:ascii="仿宋_GB2312" w:hAnsi="Arial" w:eastAsia="仿宋_GB2312" w:cs="仿宋_GB2312"/>
          <w:b w:val="0"/>
          <w:i w:val="0"/>
          <w:color w:val="auto"/>
          <w:kern w:val="2"/>
          <w:sz w:val="32"/>
          <w:szCs w:val="32"/>
          <w:u w:val="none"/>
          <w:shd w:val="clear" w:color="auto" w:fill="FFFFFF"/>
          <w:lang w:val="en-US" w:eastAsia="zh-CN" w:bidi="ar"/>
        </w:rPr>
        <w:t>2022年，伊州区财政部门坚持以习近平新时代中国特色社会主义思想为指导，深入学习党的二十大精神，贯彻落实第三次中央新疆工作座谈会精神，贯彻落实习近平总书记视察新疆重要讲话重要指示精神，按照区委、区政府的决策部署，进一步强化支出管理，按照“保基本、兜底线”原则，严守“三保”底线，全面落实保工资、保运转、保基本民生支出兜底责任，足额安排“三保”预算支出，确保财政稳定运行。从总体情况看，全年财政运行良好。根据《预算法》有关规定，现将具体情况汇报如下：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600" w:leftChars="0" w:firstLine="0" w:firstLineChars="0"/>
        <w:textAlignment w:val="auto"/>
        <w:outlineLvl w:val="2"/>
        <w:rPr>
          <w:rFonts w:hint="eastAsia" w:ascii="黑体" w:hAnsi="黑体" w:eastAsia="黑体" w:cs="黑体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highlight w:val="none"/>
          <w:lang w:val="en-US" w:eastAsia="zh-CN"/>
        </w:rPr>
        <w:t>伊州区财政收支完成情况。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highlight w:val="none"/>
        </w:rPr>
        <w:t>（一）</w:t>
      </w:r>
      <w:r>
        <w:rPr>
          <w:rFonts w:hint="eastAsia" w:ascii="楷体" w:hAnsi="楷体" w:eastAsia="楷体" w:cs="楷体"/>
          <w:b/>
          <w:sz w:val="32"/>
          <w:szCs w:val="32"/>
          <w:highlight w:val="none"/>
          <w:lang w:val="en-US" w:eastAsia="zh-CN"/>
        </w:rPr>
        <w:t>2022年伊州区</w:t>
      </w:r>
      <w:r>
        <w:rPr>
          <w:rFonts w:hint="eastAsia" w:ascii="楷体" w:hAnsi="楷体" w:eastAsia="楷体" w:cs="楷体"/>
          <w:b/>
          <w:sz w:val="32"/>
          <w:szCs w:val="32"/>
          <w:highlight w:val="none"/>
        </w:rPr>
        <w:t>一般公共预算收支决算情况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1.一般公共预算收入完成情况：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（1）2022年伊州区一般公共预算收入完成38.36亿元，为年初预算数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37.07亿元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103.48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%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，同比增长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9.7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%，增收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3.39亿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元。其中：税收收入完成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33.27亿元，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为年初预算数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31.57亿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元的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105.38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%，同比增长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18.36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%，增收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5.16亿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元，非税收入完成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5.09亿元，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为年初预算数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5.5亿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元的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92.55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%，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同比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下降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25.79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%，减收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1.77亿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（2）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上级补助收入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34.56亿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元，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同比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增加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7.5亿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元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，增长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27.72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%。其中：返还性收入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2.56亿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元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同比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无变动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；一般性转移支付收入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28.1亿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元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同比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增加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6.86亿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元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，增长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32.29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%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增加的原因：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eastAsia="zh-CN"/>
        </w:rPr>
        <w:t>一是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上级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财政下达支持基层落实减税降费和补充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区县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财力转移支付增加。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二是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上级财政加大了共同财政事权转移支付力度，均衡性转移支付、农林水、文化旅游体育与传媒等共同财政事权一般性转移支付增加；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专项转移支付收入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3.9亿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元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同比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增加0.64亿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元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增长19.7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%。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增加部分主要为卫生健康转移支付增加。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债务转贷收入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13.43亿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元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上年结余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0.16亿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元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调入资金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2.8亿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元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。其中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: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政府性基金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收入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调入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2.72亿元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、国有资本经营收入调入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0.08亿元。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2.一般公共预算支出完成情况：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）一般公共预算支出完成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62.52亿元，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为调整预算数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63.51亿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元的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98.44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%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同比增长1.83%，增支1.13亿元。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上解上级支出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12.6亿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元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，其中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: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体制上解支出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11.87亿元，专项上解0.73亿元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债务还本支出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13.21亿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元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highlight w:val="none"/>
        </w:rPr>
        <w:t>3.结转资金使用和资金结余情况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伊州区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使用以前年度结转资金安排支出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0.16亿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元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。当年一般公共预算支出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结转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结余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0.98亿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元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，结转下年支出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0.98亿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元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，净结余为零。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highlight w:val="none"/>
        </w:rPr>
        <w:t>4.预备费使用情况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伊州区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预备费预算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0.64亿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元，动用预备费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0.4亿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元，具体包括：扶桑棉粉蚧病虫害防治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0.01亿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元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疫情防控资金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0.38亿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元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其他突发事件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0.01亿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楷体" w:hAnsi="楷体" w:eastAsia="楷体" w:cs="楷体"/>
          <w:b/>
          <w:bCs/>
          <w:sz w:val="32"/>
          <w:szCs w:val="32"/>
          <w:highlight w:val="none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highlight w:val="none"/>
        </w:rPr>
        <w:t>（二）</w:t>
      </w:r>
      <w:r>
        <w:rPr>
          <w:rFonts w:hint="eastAsia" w:ascii="楷体" w:hAnsi="楷体" w:eastAsia="楷体" w:cs="楷体"/>
          <w:b/>
          <w:sz w:val="32"/>
          <w:szCs w:val="32"/>
          <w:highlight w:val="none"/>
        </w:rPr>
        <w:t>202</w:t>
      </w:r>
      <w:r>
        <w:rPr>
          <w:rFonts w:hint="eastAsia" w:ascii="楷体" w:hAnsi="楷体" w:eastAsia="楷体" w:cs="楷体"/>
          <w:b/>
          <w:sz w:val="32"/>
          <w:szCs w:val="32"/>
          <w:highlight w:val="none"/>
          <w:lang w:val="en-US" w:eastAsia="zh-CN"/>
        </w:rPr>
        <w:t>2年伊州区</w:t>
      </w:r>
      <w:r>
        <w:rPr>
          <w:rFonts w:hint="eastAsia" w:ascii="楷体" w:hAnsi="楷体" w:eastAsia="楷体" w:cs="楷体"/>
          <w:b/>
          <w:sz w:val="32"/>
          <w:szCs w:val="32"/>
          <w:highlight w:val="none"/>
        </w:rPr>
        <w:t>政</w:t>
      </w:r>
      <w:r>
        <w:rPr>
          <w:rFonts w:hint="eastAsia" w:ascii="楷体" w:hAnsi="楷体" w:eastAsia="楷体" w:cs="楷体"/>
          <w:b/>
          <w:bCs/>
          <w:sz w:val="32"/>
          <w:szCs w:val="32"/>
          <w:highlight w:val="none"/>
        </w:rPr>
        <w:t>府性基金预算收支决算情况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bottom w:val="single" w:color="FFFFFF" w:sz="4" w:space="31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textAlignment w:val="top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收入情况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：202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年，政府性基金预算收入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11.14亿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元，为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年初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预算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31.79亿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元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35.04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%，比20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下降33.78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%，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减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收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5.68亿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元。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下降的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主要原因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是：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土地出让市场需求放缓，竞买意愿不强，土地出让收入下降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bottom w:val="single" w:color="FFFFFF" w:sz="4" w:space="31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3" w:firstLineChars="200"/>
        <w:textAlignment w:val="top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支出情况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：政府性基金预算支出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完成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18.26亿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元，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为调整预算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18.47亿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元的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98.86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%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同比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下降30.03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%，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减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支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7.83亿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元。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减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支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的主要原因是：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2022年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政府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性基金债务转贷收入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同比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减少5.7亿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元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相应支出减少。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31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/>
        <w:textAlignment w:val="top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收支平衡情况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：收入总计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21.64亿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元。其中：政府性基金预算收入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11.14亿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元，上级补助收入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0.19亿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元，上年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结转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结余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0.11亿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元，债务转贷收入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10.2亿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元。支出总计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21.43亿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元。其中：政府性基金预算支出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18.26亿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元，调出资金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2.72亿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元（调入一般公共预算），债务还本支出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0.45亿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元。收支相抵，当年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结转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结余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0.21亿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31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/>
        <w:textAlignment w:val="top"/>
        <w:rPr>
          <w:rFonts w:hint="eastAsia" w:ascii="楷体" w:hAnsi="楷体" w:eastAsia="楷体" w:cs="楷体"/>
          <w:b/>
          <w:bCs/>
          <w:sz w:val="32"/>
          <w:szCs w:val="32"/>
          <w:highlight w:val="none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highlight w:val="none"/>
        </w:rPr>
        <w:t>（三）202</w:t>
      </w:r>
      <w:r>
        <w:rPr>
          <w:rFonts w:hint="eastAsia" w:ascii="楷体" w:hAnsi="楷体" w:eastAsia="楷体" w:cs="楷体"/>
          <w:b/>
          <w:bCs/>
          <w:sz w:val="32"/>
          <w:szCs w:val="32"/>
          <w:highlight w:val="none"/>
          <w:lang w:val="en-US" w:eastAsia="zh-CN"/>
        </w:rPr>
        <w:t>2伊州区</w:t>
      </w:r>
      <w:r>
        <w:rPr>
          <w:rFonts w:hint="eastAsia" w:ascii="楷体" w:hAnsi="楷体" w:eastAsia="楷体" w:cs="楷体"/>
          <w:b/>
          <w:bCs/>
          <w:sz w:val="32"/>
          <w:szCs w:val="32"/>
          <w:highlight w:val="none"/>
        </w:rPr>
        <w:t>国有资本经营预算收支决算情况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bottom w:val="single" w:color="FFFFFF" w:sz="4" w:space="31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/>
        <w:textAlignment w:val="top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收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入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情况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：国有资本经营预算收入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0.27亿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元，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为预算数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0.26亿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元的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103.85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%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同比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增加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0.04亿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元，增长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17.72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%。增长的主要原因是：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国有企业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上缴的利润收入较上年增加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bottom w:val="single" w:color="FFFFFF" w:sz="4" w:space="31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0"/>
        <w:textAlignment w:val="top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支出情况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：国有资本经营支出0.33亿元，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调整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预算数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0.39亿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元的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84.62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%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，同比增长105.78%，增支0.17亿元。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bottom w:val="single" w:color="FFFFFF" w:sz="4" w:space="31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0"/>
        <w:textAlignment w:val="top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收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支平衡情况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国有资本经营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总收入0.47亿元。其中：利润收入0.27亿元，上级补助收入0.07亿元，上年结余0.13亿元。国有资本经营总支出0.41亿元，其中：国有资本经营支出0.33亿元，调出资金0.08亿元。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eastAsia="zh-CN"/>
        </w:rPr>
        <w:t>收支相抵，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年终结余0.06亿元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31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textAlignment w:val="top"/>
        <w:rPr>
          <w:rFonts w:hint="eastAsia" w:ascii="楷体" w:hAnsi="楷体" w:eastAsia="楷体" w:cs="楷体"/>
          <w:b/>
          <w:sz w:val="32"/>
          <w:szCs w:val="32"/>
          <w:highlight w:val="none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highlight w:val="none"/>
        </w:rPr>
        <w:t>（</w:t>
      </w:r>
      <w:r>
        <w:rPr>
          <w:rFonts w:hint="eastAsia" w:ascii="楷体" w:hAnsi="楷体" w:eastAsia="楷体" w:cs="楷体"/>
          <w:b/>
          <w:sz w:val="32"/>
          <w:szCs w:val="32"/>
          <w:highlight w:val="none"/>
        </w:rPr>
        <w:t>四）202</w:t>
      </w:r>
      <w:r>
        <w:rPr>
          <w:rFonts w:hint="eastAsia" w:ascii="楷体" w:hAnsi="楷体" w:eastAsia="楷体" w:cs="楷体"/>
          <w:b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楷体" w:hAnsi="楷体" w:eastAsia="楷体" w:cs="楷体"/>
          <w:b/>
          <w:sz w:val="32"/>
          <w:szCs w:val="32"/>
          <w:highlight w:val="none"/>
        </w:rPr>
        <w:t>年</w:t>
      </w:r>
      <w:r>
        <w:rPr>
          <w:rFonts w:hint="eastAsia" w:ascii="楷体" w:hAnsi="楷体" w:eastAsia="楷体" w:cs="楷体"/>
          <w:b/>
          <w:sz w:val="32"/>
          <w:szCs w:val="32"/>
          <w:highlight w:val="none"/>
          <w:lang w:eastAsia="zh-CN"/>
        </w:rPr>
        <w:t>伊州区</w:t>
      </w:r>
      <w:r>
        <w:rPr>
          <w:rFonts w:hint="eastAsia" w:ascii="楷体" w:hAnsi="楷体" w:eastAsia="楷体" w:cs="楷体"/>
          <w:b/>
          <w:sz w:val="32"/>
          <w:szCs w:val="32"/>
          <w:highlight w:val="none"/>
        </w:rPr>
        <w:t>社会保险基金预算收支决算情况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31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top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  <w:t>当年收入总计5.6亿元，同比增长11.4%，增收0.57亿元。当年支出总计5.27亿元，同比增长5.82%，增支0.29亿元。收支相抵，本年结余0.33亿元，年末滚存结余2.01亿元。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31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textAlignment w:val="top"/>
        <w:rPr>
          <w:rFonts w:hint="eastAsia" w:ascii="楷体" w:hAnsi="楷体" w:eastAsia="楷体" w:cs="楷体"/>
          <w:b/>
          <w:bCs/>
          <w:sz w:val="32"/>
          <w:szCs w:val="32"/>
          <w:highlight w:val="none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highlight w:val="none"/>
        </w:rPr>
        <w:t>（五）202</w:t>
      </w:r>
      <w:r>
        <w:rPr>
          <w:rFonts w:hint="eastAsia" w:ascii="楷体" w:hAnsi="楷体" w:eastAsia="楷体" w:cs="楷体"/>
          <w:b/>
          <w:bCs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楷体" w:hAnsi="楷体" w:eastAsia="楷体" w:cs="楷体"/>
          <w:b/>
          <w:bCs/>
          <w:sz w:val="32"/>
          <w:szCs w:val="32"/>
          <w:highlight w:val="none"/>
        </w:rPr>
        <w:t>年</w:t>
      </w:r>
      <w:r>
        <w:rPr>
          <w:rFonts w:hint="eastAsia" w:ascii="楷体" w:hAnsi="楷体" w:eastAsia="楷体" w:cs="楷体"/>
          <w:b/>
          <w:bCs/>
          <w:sz w:val="32"/>
          <w:szCs w:val="32"/>
          <w:highlight w:val="none"/>
          <w:lang w:eastAsia="zh-CN"/>
        </w:rPr>
        <w:t>伊州区</w:t>
      </w:r>
      <w:r>
        <w:rPr>
          <w:rFonts w:hint="eastAsia" w:ascii="楷体" w:hAnsi="楷体" w:eastAsia="楷体" w:cs="楷体"/>
          <w:b/>
          <w:bCs/>
          <w:sz w:val="32"/>
          <w:szCs w:val="32"/>
          <w:highlight w:val="none"/>
        </w:rPr>
        <w:t>地方政府债务收支决算情况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31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7" w:firstLineChars="200"/>
        <w:textAlignment w:val="top"/>
        <w:rPr>
          <w:rFonts w:hint="eastAsia" w:ascii="仿宋_GB2312" w:hAnsi="仿宋_GB2312" w:eastAsia="仿宋_GB2312" w:cs="仿宋_GB2312"/>
          <w:b/>
          <w:spacing w:val="-4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pacing w:val="-4"/>
          <w:sz w:val="32"/>
          <w:szCs w:val="32"/>
          <w:lang w:val="en-US" w:eastAsia="zh-CN"/>
        </w:rPr>
        <w:t>1、2022年度政府债务余额情况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31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top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  <w:t>截止2022年末，地方政府性债务余额为171.99亿元。其中：地方政府法定债务余额140.73亿元、隐性债务余额为31.26亿元，债务余额严格控制在自治区核定的限额内。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31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7" w:firstLineChars="200"/>
        <w:textAlignment w:val="top"/>
        <w:rPr>
          <w:rFonts w:hint="eastAsia" w:ascii="仿宋_GB2312" w:hAnsi="仿宋_GB2312" w:eastAsia="仿宋_GB2312" w:cs="仿宋_GB2312"/>
          <w:b/>
          <w:spacing w:val="-4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pacing w:val="-4"/>
          <w:sz w:val="32"/>
          <w:szCs w:val="32"/>
          <w:lang w:val="en-US" w:eastAsia="zh-CN"/>
        </w:rPr>
        <w:t>2、2022年度政府债券发行使用情况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31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top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2022年度伊州区发行政府债券23.63亿元（新增债券18.4亿元、再融资债券5.23亿元）。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31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textAlignment w:val="top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（1）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新增一般债券发行使用情况。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2022年度伊州区发行新增一般债券8.2亿元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。上述债券资金主要用于义务教育、脱贫攻坚、农林水利、市政基础设施等领域。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31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textAlignment w:val="top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（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）新增专项债券发行使用情况。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2022年度伊州区发行新增专项债券10.2亿元。上述债券资金主要用于交通、能源、农林水利、生态环保、社会事业、城乡冷链物流基础设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施、市政和产业园区基础设施、保障性安居工程等重点领域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31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textAlignment w:val="top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（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）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再融资债券情况。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2022年度伊州区发行再融资债券5.23亿元（再融资一般债券5.23亿元、再融资专项债券0亿元）。上述债券资金全部用于偿还到期政府债券本金。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31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7" w:firstLineChars="200"/>
        <w:textAlignment w:val="top"/>
        <w:rPr>
          <w:rFonts w:hint="eastAsia" w:ascii="仿宋_GB2312" w:hAnsi="仿宋_GB2312" w:eastAsia="仿宋_GB2312" w:cs="仿宋_GB2312"/>
          <w:b/>
          <w:spacing w:val="-4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pacing w:val="-4"/>
          <w:sz w:val="32"/>
          <w:szCs w:val="32"/>
          <w:highlight w:val="none"/>
          <w:lang w:val="en-US" w:eastAsia="zh-CN"/>
        </w:rPr>
        <w:t>3、2022年度政府债券还本付息情况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31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top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2022年度伊州区政府债券还本付息总额18.52亿元（本金13.66亿元：财政预算安排还本8.43亿元，再融资债券还本5.23亿元；财政预算安排付息4.86亿元）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31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textAlignment w:val="top"/>
        <w:rPr>
          <w:rFonts w:hint="eastAsia" w:ascii="黑体" w:hAnsi="黑体" w:eastAsia="黑体" w:cs="黑体"/>
          <w:b/>
          <w:bCs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kern w:val="2"/>
          <w:sz w:val="32"/>
          <w:szCs w:val="32"/>
          <w:highlight w:val="none"/>
          <w:lang w:val="en-US" w:eastAsia="zh-CN" w:bidi="ar-SA"/>
        </w:rPr>
        <w:t>二、2022年预算执行取得的主要成效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31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textAlignment w:val="top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highlight w:val="none"/>
          <w:lang w:val="en-US" w:eastAsia="zh-CN"/>
        </w:rPr>
        <w:t>（一）坚持集中财力、提升效能，持续保障和改善民生。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认真落实伊州区委、区政府工作部署，强化政策和资金支持，多方筹措资金，保障各项重大战略部署落实到位。坚持以人民为中心的发展思想，将政策支持和财力保障的重点向民生领域倾斜，大力支持就业、教育、社保、医疗卫生、乡村振兴、生态文明、文化体育等民生事业发展，进一步增强广大人民群众的获得感、幸福感。2022年一般公共预算支出62.52亿元，民生领域支出49.18亿元，占一般公共预算支出78.66%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31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textAlignment w:val="top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highlight w:val="none"/>
          <w:lang w:val="en-US" w:eastAsia="zh-CN"/>
        </w:rPr>
        <w:t>（二）扎实推进财政改革，进一步提高财政管理水平。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2022年以来，伊州区财政持续深化财政体制改革，围绕更好配置财政资源、提高资金效益、提升政策效能、增强财政可持续性，全面加强预算编制、执行、绩效以及债务管理、财会监督等重点工作，为落实各项重大决策部署提供有力保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31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textAlignment w:val="top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1.坚决落实过紧日子要求。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将过紧日子作为预算管理重要方针，把严把紧预算安排和支出关口，在保障部门正常履职需要的基础上，从严控制一般性支出，继续按照“只减不增”原则从紧核定“三公”经费预算，降低行政运行成本。执行中硬化预算约束，坚持先有预算、后有支出，严禁无预算、超预算安排支出或开展政府采购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31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textAlignment w:val="top"/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2、强化绩效管理工作。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2022年</w:t>
      </w: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伊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州区557个项目，涉及109个部门单位，全部设置项目支出绩效目标，绩效目标设置的科学性和精准度不断提高。绩效监控过程中，以绩效目标实现程度为核心，深入分析预算执行过程中存在的问题，及时发现绩效目标偏差，明确偏差原因，整改落实到位，确保绩效目标保质保量实现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31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textAlignment w:val="top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3、加快数字财政一体推进。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  <w:t>根据财政部关于建设和推广预算管理一体化总体安排,2022年起伊州区212个预算单位，全面使用预算管理一体化系统开展预算编制、资金支付和会计核算等核心业务，构建现代信息技术条件下“制度＋技术”的管理机制，全流程整合预算管理各环节业务规范，财政预算管理水平得到有效提高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31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textAlignment w:val="top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4、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坚决防范化解地方政府债务风险。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  <w:t>牢固树立风险意识和底线思维，强化地方政府债务“借、用、管、还”全过程、全链条、全方位管理，全年未发生新增违规举债等重大风险事件，全区政府债务规模风险可控。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31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textAlignment w:val="top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5、全面深入开展地方财经秩序专项整治行动。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  <w:t>根据上级财政工作要求，组织开展地方财经秩序专项整治工作，落实国家减税降费政策、党政机关过紧日子、基层“三保”、防范债务风险等7个领域违反财经纪律问题，开展全面自查自纠和复查。建立问题整改台账，实施清单管理，全面整改查出问题。同时，针对检查发现的问题，积极制定修订相关制度，依法理财能力水平得到明显提升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bottom w:val="single" w:color="FFFFFF" w:sz="4" w:space="31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textAlignment w:val="top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val="en-US" w:eastAsia="zh-CN" w:bidi="ar-SA"/>
        </w:rPr>
        <w:t>6、推动财政资金公开透明。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  <w:t>压紧压实各部门预决算公开工作责任，明确公开时限、规范公开模板、实施公开检查，预决算透明度不断增强。2022年，除涉密单位外部门预决算全面公开。2022年伊州区决算情况总体较好，同时也存在一些不足和短板需要进一步研究解决，审计也指出了在预算管理、预算编制和执行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  <w:t>以及部门单位预算执行等方面存在的问题和薄弱环节。我们高度重视这些问题，将严格落实整改责任，采取有力措施整改，不断提高依法行政、依法理财水平。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0" w:firstLineChars="14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  <w:t>哈密市伊州区财政局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  <w:t>2023年8月29日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E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C93B12D"/>
    <w:multiLevelType w:val="singleLevel"/>
    <w:tmpl w:val="9C93B12D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E88508B9"/>
    <w:multiLevelType w:val="singleLevel"/>
    <w:tmpl w:val="E88508B9"/>
    <w:lvl w:ilvl="0" w:tentative="0">
      <w:start w:val="1"/>
      <w:numFmt w:val="chineseCounting"/>
      <w:suff w:val="space"/>
      <w:lvlText w:val="%1、"/>
      <w:lvlJc w:val="left"/>
      <w:pPr>
        <w:ind w:left="600" w:firstLine="0"/>
      </w:pPr>
      <w:rPr>
        <w:rFonts w:hint="eastAsia"/>
      </w:rPr>
    </w:lvl>
  </w:abstractNum>
  <w:abstractNum w:abstractNumId="2">
    <w:nsid w:val="0B9A9B46"/>
    <w:multiLevelType w:val="singleLevel"/>
    <w:tmpl w:val="0B9A9B46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0609EB"/>
    <w:rsid w:val="01FA03EF"/>
    <w:rsid w:val="071027CB"/>
    <w:rsid w:val="1BF223BE"/>
    <w:rsid w:val="236517D0"/>
    <w:rsid w:val="30D0548C"/>
    <w:rsid w:val="335E0228"/>
    <w:rsid w:val="33EA5B9E"/>
    <w:rsid w:val="3A1A3AF4"/>
    <w:rsid w:val="3A750D93"/>
    <w:rsid w:val="3C265579"/>
    <w:rsid w:val="3D29365D"/>
    <w:rsid w:val="3FB36297"/>
    <w:rsid w:val="42417C6E"/>
    <w:rsid w:val="46D145DB"/>
    <w:rsid w:val="47691D1E"/>
    <w:rsid w:val="499A1E6D"/>
    <w:rsid w:val="50FE4D3B"/>
    <w:rsid w:val="52A447F5"/>
    <w:rsid w:val="57C42066"/>
    <w:rsid w:val="5C55465E"/>
    <w:rsid w:val="630609EB"/>
    <w:rsid w:val="70CE6A71"/>
    <w:rsid w:val="72300C47"/>
    <w:rsid w:val="77E11550"/>
    <w:rsid w:val="78681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00" w:lineRule="exact"/>
      <w:ind w:firstLine="20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qFormat/>
    <w:uiPriority w:val="99"/>
    <w:pPr>
      <w:spacing w:before="104" w:after="104"/>
      <w:outlineLvl w:val="2"/>
    </w:pPr>
    <w:rPr>
      <w:rFonts w:ascii="Times New Roman" w:hAnsi="Times New Roman" w:eastAsia="黑体"/>
      <w:szCs w:val="2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jc w:val="left"/>
    </w:pPr>
    <w:rPr>
      <w:rFonts w:cs="Times New Roman"/>
      <w:kern w:val="0"/>
      <w:sz w:val="24"/>
    </w:rPr>
  </w:style>
  <w:style w:type="character" w:customStyle="1" w:styleId="6">
    <w:name w:val="ca-1"/>
    <w:qFormat/>
    <w:uiPriority w:val="0"/>
  </w:style>
  <w:style w:type="paragraph" w:styleId="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73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2023-08-29T03:32:00Z</dcterms:created>
  <dc:creator>LENOVO</dc:creator>
  <cp:lastModifiedBy>Administrator</cp:lastModifiedBy>
  <dcterms:modified xsi:type="dcterms:W3CDTF">2025-03-03T10:53:50Z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