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Times New Roman" w:hAnsi="Times New Roman" w:eastAsia="仿宋_GB2312" w:cs="仿宋_GB2312"/>
          <w:bCs/>
          <w:kern w:val="0"/>
          <w:sz w:val="30"/>
          <w:szCs w:val="30"/>
        </w:rPr>
      </w:pPr>
    </w:p>
    <w:p>
      <w:pPr>
        <w:pStyle w:val="12"/>
        <w:rPr>
          <w:rFonts w:ascii="Times New Roman" w:hAnsi="Times New Roman"/>
        </w:rPr>
      </w:pPr>
    </w:p>
    <w:p>
      <w:pPr>
        <w:spacing w:line="560" w:lineRule="exact"/>
        <w:ind w:firstLine="1446" w:firstLineChars="300"/>
        <w:jc w:val="both"/>
        <w:outlineLvl w:val="0"/>
        <w:rPr>
          <w:rFonts w:ascii="Times New Roman" w:hAnsi="Times New Roman" w:eastAsia="黑体" w:cs="黑体"/>
          <w:b/>
          <w:kern w:val="0"/>
          <w:sz w:val="48"/>
          <w:szCs w:val="48"/>
        </w:rPr>
      </w:pPr>
      <w:r>
        <w:rPr>
          <w:rFonts w:hint="eastAsia" w:ascii="Times New Roman" w:hAnsi="Times New Roman" w:eastAsia="黑体" w:cs="黑体"/>
          <w:b/>
          <w:kern w:val="0"/>
          <w:sz w:val="48"/>
          <w:szCs w:val="48"/>
        </w:rPr>
        <w:t>哈密市伊州区社会保险支出</w:t>
      </w:r>
    </w:p>
    <w:p>
      <w:pPr>
        <w:spacing w:line="560" w:lineRule="exact"/>
        <w:jc w:val="center"/>
        <w:outlineLvl w:val="0"/>
        <w:rPr>
          <w:rFonts w:ascii="Times New Roman" w:hAnsi="Times New Roman" w:eastAsia="黑体" w:cs="黑体"/>
          <w:b/>
          <w:kern w:val="0"/>
          <w:sz w:val="48"/>
          <w:szCs w:val="48"/>
        </w:rPr>
      </w:pPr>
      <w:r>
        <w:rPr>
          <w:rFonts w:hint="eastAsia" w:ascii="Times New Roman" w:hAnsi="Times New Roman" w:eastAsia="黑体" w:cs="黑体"/>
          <w:b/>
          <w:kern w:val="0"/>
          <w:sz w:val="48"/>
          <w:szCs w:val="48"/>
        </w:rPr>
        <w:t>绩效评价报告</w:t>
      </w:r>
    </w:p>
    <w:p>
      <w:pPr>
        <w:spacing w:line="560" w:lineRule="exact"/>
        <w:jc w:val="center"/>
        <w:rPr>
          <w:rFonts w:ascii="Times New Roman" w:hAnsi="Times New Roman" w:eastAsia="黑体" w:cs="黑体"/>
          <w:b/>
          <w:kern w:val="0"/>
          <w:sz w:val="48"/>
          <w:szCs w:val="48"/>
        </w:rPr>
      </w:pPr>
    </w:p>
    <w:p>
      <w:pPr>
        <w:spacing w:line="560" w:lineRule="exact"/>
        <w:jc w:val="center"/>
        <w:outlineLvl w:val="0"/>
        <w:rPr>
          <w:rFonts w:ascii="Times New Roman" w:hAnsi="Times New Roman" w:eastAsia="黑体" w:cs="黑体"/>
          <w:b/>
          <w:kern w:val="0"/>
          <w:sz w:val="48"/>
          <w:szCs w:val="48"/>
        </w:rPr>
      </w:pPr>
      <w:r>
        <w:rPr>
          <w:rFonts w:hint="eastAsia" w:ascii="Times New Roman" w:hAnsi="Times New Roman" w:eastAsia="黑体" w:cs="黑体"/>
          <w:b/>
          <w:kern w:val="0"/>
          <w:sz w:val="48"/>
          <w:szCs w:val="48"/>
        </w:rPr>
        <w:t>（</w:t>
      </w:r>
      <w:r>
        <w:rPr>
          <w:rFonts w:ascii="Times New Roman" w:hAnsi="Times New Roman" w:eastAsia="黑体" w:cs="黑体"/>
          <w:b/>
          <w:kern w:val="0"/>
          <w:sz w:val="48"/>
          <w:szCs w:val="48"/>
        </w:rPr>
        <w:t>20</w:t>
      </w:r>
      <w:r>
        <w:rPr>
          <w:rFonts w:hint="eastAsia" w:ascii="Times New Roman" w:hAnsi="Times New Roman" w:eastAsia="黑体" w:cs="黑体"/>
          <w:b/>
          <w:kern w:val="0"/>
          <w:sz w:val="48"/>
          <w:szCs w:val="48"/>
        </w:rPr>
        <w:t>2</w:t>
      </w:r>
      <w:r>
        <w:rPr>
          <w:rFonts w:hint="eastAsia" w:eastAsia="黑体" w:cs="黑体"/>
          <w:b/>
          <w:kern w:val="0"/>
          <w:sz w:val="48"/>
          <w:szCs w:val="48"/>
          <w:lang w:val="en-US" w:eastAsia="zh-CN"/>
        </w:rPr>
        <w:t>2</w:t>
      </w:r>
      <w:r>
        <w:rPr>
          <w:rFonts w:hint="eastAsia" w:ascii="Times New Roman" w:hAnsi="Times New Roman" w:eastAsia="黑体" w:cs="黑体"/>
          <w:b/>
          <w:kern w:val="0"/>
          <w:sz w:val="48"/>
          <w:szCs w:val="48"/>
        </w:rPr>
        <w:t>年度）</w:t>
      </w:r>
    </w:p>
    <w:p>
      <w:pPr>
        <w:spacing w:line="560" w:lineRule="exact"/>
        <w:jc w:val="center"/>
        <w:rPr>
          <w:rFonts w:ascii="Times New Roman" w:hAnsi="Times New Roman" w:eastAsia="仿宋_GB2312" w:cs="仿宋_GB2312"/>
          <w:bCs/>
          <w:kern w:val="0"/>
          <w:sz w:val="30"/>
          <w:szCs w:val="30"/>
        </w:rPr>
      </w:pPr>
    </w:p>
    <w:p>
      <w:pPr>
        <w:spacing w:line="560" w:lineRule="exact"/>
        <w:rPr>
          <w:rFonts w:ascii="Times New Roman" w:hAnsi="Times New Roman" w:eastAsia="仿宋_GB2312" w:cs="仿宋_GB2312"/>
          <w:bCs/>
          <w:kern w:val="0"/>
          <w:sz w:val="30"/>
          <w:szCs w:val="30"/>
        </w:rPr>
      </w:pPr>
    </w:p>
    <w:p>
      <w:pPr>
        <w:pStyle w:val="2"/>
      </w:pPr>
    </w:p>
    <w:p/>
    <w:p>
      <w:pPr>
        <w:pStyle w:val="2"/>
      </w:pPr>
    </w:p>
    <w:p>
      <w:pPr>
        <w:spacing w:line="560" w:lineRule="exact"/>
        <w:rPr>
          <w:rFonts w:ascii="Times New Roman" w:hAnsi="Times New Roman" w:eastAsia="仿宋_GB2312" w:cs="仿宋_GB2312"/>
          <w:bCs/>
          <w:kern w:val="0"/>
          <w:sz w:val="30"/>
          <w:szCs w:val="30"/>
        </w:rPr>
      </w:pPr>
    </w:p>
    <w:p>
      <w:pPr>
        <w:spacing w:line="560" w:lineRule="exact"/>
        <w:ind w:firstLine="160" w:firstLineChars="50"/>
        <w:jc w:val="left"/>
        <w:outlineLvl w:val="0"/>
        <w:rPr>
          <w:rFonts w:ascii="Times New Roman" w:hAnsi="Times New Roman" w:eastAsia="黑体" w:cs="黑体"/>
          <w:bCs/>
          <w:kern w:val="0"/>
          <w:sz w:val="32"/>
          <w:szCs w:val="32"/>
        </w:rPr>
      </w:pPr>
      <w:r>
        <w:rPr>
          <w:rFonts w:hint="eastAsia" w:ascii="Times New Roman" w:hAnsi="Times New Roman" w:eastAsia="黑体" w:cs="黑体"/>
          <w:bCs/>
          <w:kern w:val="0"/>
          <w:sz w:val="32"/>
          <w:szCs w:val="32"/>
        </w:rPr>
        <w:t>项目名称：社会保险基金支出</w:t>
      </w:r>
    </w:p>
    <w:p>
      <w:pPr>
        <w:spacing w:line="560" w:lineRule="exact"/>
        <w:rPr>
          <w:rFonts w:ascii="Times New Roman" w:hAnsi="Times New Roman" w:eastAsia="黑体" w:cs="黑体"/>
          <w:b w:val="0"/>
          <w:bCs/>
          <w:kern w:val="0"/>
          <w:sz w:val="32"/>
          <w:szCs w:val="32"/>
        </w:rPr>
      </w:pPr>
    </w:p>
    <w:p>
      <w:pPr>
        <w:pStyle w:val="12"/>
        <w:ind w:firstLine="160" w:firstLineChars="50"/>
        <w:jc w:val="both"/>
        <w:outlineLvl w:val="0"/>
        <w:rPr>
          <w:rFonts w:hint="eastAsia" w:ascii="Times New Roman" w:hAnsi="Times New Roman" w:eastAsia="黑体" w:cs="黑体"/>
          <w:b w:val="0"/>
          <w:bCs w:val="0"/>
          <w:kern w:val="0"/>
          <w:sz w:val="32"/>
          <w:szCs w:val="32"/>
        </w:rPr>
      </w:pPr>
      <w:r>
        <w:rPr>
          <w:rFonts w:hint="eastAsia" w:ascii="Times New Roman" w:hAnsi="Times New Roman" w:eastAsia="黑体" w:cs="黑体"/>
          <w:b w:val="0"/>
          <w:bCs/>
          <w:kern w:val="0"/>
          <w:sz w:val="32"/>
          <w:szCs w:val="32"/>
        </w:rPr>
        <w:t>实施单位（公章）：哈</w:t>
      </w:r>
      <w:r>
        <w:rPr>
          <w:rFonts w:hint="eastAsia" w:ascii="Times New Roman" w:hAnsi="Times New Roman" w:eastAsia="黑体" w:cs="黑体"/>
          <w:b w:val="0"/>
          <w:bCs w:val="0"/>
          <w:kern w:val="0"/>
          <w:sz w:val="32"/>
          <w:szCs w:val="32"/>
        </w:rPr>
        <w:t>密市伊州区人力资源和社会保障局</w:t>
      </w:r>
    </w:p>
    <w:p>
      <w:pPr>
        <w:pStyle w:val="12"/>
        <w:jc w:val="both"/>
        <w:outlineLvl w:val="0"/>
        <w:rPr>
          <w:rFonts w:hint="eastAsia" w:ascii="Times New Roman" w:hAnsi="Times New Roman" w:eastAsia="黑体" w:cs="黑体"/>
          <w:b w:val="0"/>
          <w:bCs w:val="0"/>
          <w:kern w:val="0"/>
          <w:sz w:val="32"/>
          <w:szCs w:val="32"/>
        </w:rPr>
      </w:pPr>
      <w:r>
        <w:rPr>
          <w:rFonts w:hint="eastAsia" w:ascii="Times New Roman" w:hAnsi="Times New Roman" w:eastAsia="黑体" w:cs="黑体"/>
          <w:b w:val="0"/>
          <w:bCs w:val="0"/>
          <w:kern w:val="0"/>
          <w:sz w:val="32"/>
          <w:szCs w:val="32"/>
          <w:lang w:val="en-US" w:eastAsia="zh-CN"/>
        </w:rPr>
        <w:t xml:space="preserve">                 </w:t>
      </w:r>
    </w:p>
    <w:p>
      <w:pPr>
        <w:spacing w:line="560" w:lineRule="exact"/>
        <w:outlineLvl w:val="0"/>
        <w:rPr>
          <w:rFonts w:hint="eastAsia" w:ascii="Times New Roman" w:hAnsi="Times New Roman" w:eastAsia="黑体" w:cs="黑体"/>
          <w:bCs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黑体" w:cs="黑体"/>
          <w:bCs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黑体" w:cs="黑体"/>
          <w:bCs/>
          <w:kern w:val="0"/>
          <w:sz w:val="32"/>
          <w:szCs w:val="32"/>
        </w:rPr>
        <w:t>负责人（签章）：</w:t>
      </w:r>
      <w:r>
        <w:rPr>
          <w:rFonts w:hint="eastAsia" w:eastAsia="黑体" w:cs="黑体"/>
          <w:bCs/>
          <w:kern w:val="0"/>
          <w:sz w:val="32"/>
          <w:szCs w:val="32"/>
          <w:lang w:eastAsia="zh-CN"/>
        </w:rPr>
        <w:t>王志武</w:t>
      </w:r>
    </w:p>
    <w:p>
      <w:pPr>
        <w:pStyle w:val="12"/>
        <w:jc w:val="both"/>
        <w:rPr>
          <w:rFonts w:ascii="Times New Roman" w:hAnsi="Times New Roman" w:eastAsia="黑体"/>
          <w:b w:val="0"/>
          <w:sz w:val="30"/>
          <w:szCs w:val="30"/>
        </w:rPr>
      </w:pPr>
    </w:p>
    <w:p>
      <w:pPr>
        <w:spacing w:line="560" w:lineRule="exact"/>
        <w:outlineLvl w:val="0"/>
        <w:rPr>
          <w:rFonts w:ascii="Times New Roman" w:hAnsi="Times New Roman" w:eastAsia="黑体" w:cs="黑体"/>
          <w:bCs/>
          <w:kern w:val="0"/>
          <w:sz w:val="32"/>
          <w:szCs w:val="32"/>
        </w:rPr>
      </w:pPr>
      <w:r>
        <w:rPr>
          <w:rFonts w:hint="eastAsia" w:ascii="Times New Roman" w:hAnsi="Times New Roman" w:eastAsia="黑体" w:cs="黑体"/>
          <w:bCs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黑体" w:cs="黑体"/>
          <w:bCs/>
          <w:kern w:val="0"/>
          <w:sz w:val="32"/>
          <w:szCs w:val="32"/>
        </w:rPr>
        <w:t>填报时间：</w:t>
      </w:r>
      <w:r>
        <w:rPr>
          <w:rFonts w:ascii="Times New Roman" w:hAnsi="Times New Roman" w:eastAsia="黑体" w:cs="黑体"/>
          <w:bCs/>
          <w:kern w:val="0"/>
          <w:sz w:val="32"/>
          <w:szCs w:val="32"/>
        </w:rPr>
        <w:t xml:space="preserve"> 20</w:t>
      </w:r>
      <w:r>
        <w:rPr>
          <w:rFonts w:hint="eastAsia" w:ascii="Times New Roman" w:hAnsi="Times New Roman" w:eastAsia="黑体" w:cs="黑体"/>
          <w:bCs/>
          <w:kern w:val="0"/>
          <w:sz w:val="32"/>
          <w:szCs w:val="32"/>
        </w:rPr>
        <w:t>2</w:t>
      </w:r>
      <w:r>
        <w:rPr>
          <w:rFonts w:hint="eastAsia" w:eastAsia="黑体" w:cs="黑体"/>
          <w:bCs/>
          <w:kern w:val="0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黑体" w:cs="黑体"/>
          <w:bCs/>
          <w:kern w:val="0"/>
          <w:sz w:val="32"/>
          <w:szCs w:val="32"/>
        </w:rPr>
        <w:t>年</w:t>
      </w:r>
      <w:r>
        <w:rPr>
          <w:rFonts w:ascii="Times New Roman" w:hAnsi="Times New Roman" w:eastAsia="黑体" w:cs="黑体"/>
          <w:bCs/>
          <w:kern w:val="0"/>
          <w:sz w:val="32"/>
          <w:szCs w:val="32"/>
        </w:rPr>
        <w:t xml:space="preserve"> </w:t>
      </w:r>
      <w:r>
        <w:rPr>
          <w:rFonts w:hint="eastAsia" w:eastAsia="黑体" w:cs="黑体"/>
          <w:bCs/>
          <w:kern w:val="0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 w:eastAsia="黑体" w:cs="黑体"/>
          <w:bCs/>
          <w:kern w:val="0"/>
          <w:sz w:val="32"/>
          <w:szCs w:val="32"/>
        </w:rPr>
        <w:t>月</w:t>
      </w:r>
      <w:r>
        <w:rPr>
          <w:rFonts w:hint="eastAsia" w:eastAsia="黑体" w:cs="黑体"/>
          <w:bCs/>
          <w:kern w:val="0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黑体" w:cs="黑体"/>
          <w:bCs/>
          <w:kern w:val="0"/>
          <w:sz w:val="32"/>
          <w:szCs w:val="32"/>
        </w:rPr>
        <w:t>日</w:t>
      </w:r>
    </w:p>
    <w:p>
      <w:pPr>
        <w:pStyle w:val="12"/>
        <w:rPr>
          <w:rFonts w:ascii="Times New Roman" w:hAnsi="Times New Roman"/>
        </w:rPr>
      </w:pPr>
    </w:p>
    <w:p>
      <w:pPr>
        <w:spacing w:line="560" w:lineRule="exact"/>
        <w:ind w:firstLine="640"/>
        <w:rPr>
          <w:rStyle w:val="21"/>
          <w:rFonts w:hint="eastAsia" w:ascii="Times New Roman" w:hAnsi="Times New Roman" w:eastAsia="仿宋_GB2312" w:cs="仿宋_GB2312"/>
          <w:bCs w:val="0"/>
          <w:spacing w:val="-4"/>
          <w:sz w:val="30"/>
          <w:szCs w:val="30"/>
        </w:rPr>
      </w:pPr>
    </w:p>
    <w:p>
      <w:pPr>
        <w:spacing w:line="560" w:lineRule="exact"/>
        <w:ind w:firstLine="640"/>
        <w:rPr>
          <w:rStyle w:val="21"/>
          <w:rFonts w:hint="eastAsia" w:ascii="Times New Roman" w:hAnsi="Times New Roman" w:eastAsia="仿宋_GB2312" w:cs="仿宋_GB2312"/>
          <w:bCs w:val="0"/>
          <w:spacing w:val="-4"/>
          <w:sz w:val="30"/>
          <w:szCs w:val="30"/>
        </w:rPr>
      </w:pPr>
    </w:p>
    <w:p>
      <w:pPr>
        <w:spacing w:line="560" w:lineRule="exact"/>
        <w:outlineLvl w:val="0"/>
        <w:rPr>
          <w:rStyle w:val="21"/>
          <w:rFonts w:hint="eastAsia" w:ascii="黑体" w:hAnsi="黑体" w:eastAsia="黑体" w:cs="黑体"/>
          <w:bCs w:val="0"/>
          <w:spacing w:val="-4"/>
          <w:sz w:val="30"/>
          <w:szCs w:val="30"/>
        </w:rPr>
      </w:pPr>
    </w:p>
    <w:p>
      <w:pPr>
        <w:spacing w:line="560" w:lineRule="exact"/>
        <w:ind w:firstLine="640"/>
        <w:outlineLvl w:val="0"/>
        <w:rPr>
          <w:rStyle w:val="21"/>
          <w:rFonts w:hint="eastAsia" w:ascii="黑体" w:hAnsi="黑体" w:eastAsia="黑体" w:cs="黑体"/>
          <w:bCs w:val="0"/>
          <w:spacing w:val="-4"/>
          <w:sz w:val="30"/>
          <w:szCs w:val="30"/>
        </w:rPr>
      </w:pPr>
      <w:r>
        <w:rPr>
          <w:rStyle w:val="21"/>
          <w:rFonts w:hint="eastAsia" w:ascii="黑体" w:hAnsi="黑体" w:eastAsia="黑体" w:cs="黑体"/>
          <w:bCs w:val="0"/>
          <w:spacing w:val="-4"/>
          <w:sz w:val="30"/>
          <w:szCs w:val="30"/>
        </w:rPr>
        <w:t>一、社会保险基金收支余总体情况</w:t>
      </w:r>
    </w:p>
    <w:p>
      <w:pPr>
        <w:spacing w:line="560" w:lineRule="exact"/>
        <w:ind w:firstLine="567"/>
        <w:outlineLvl w:val="1"/>
        <w:rPr>
          <w:rStyle w:val="21"/>
          <w:rFonts w:hint="eastAsia" w:ascii="仿宋_GB2312" w:hAnsi="仿宋_GB2312" w:eastAsia="仿宋_GB2312" w:cs="仿宋_GB2312"/>
          <w:b/>
          <w:bCs w:val="0"/>
          <w:spacing w:val="-4"/>
          <w:sz w:val="30"/>
          <w:szCs w:val="30"/>
        </w:rPr>
      </w:pPr>
      <w:r>
        <w:rPr>
          <w:rStyle w:val="21"/>
          <w:rFonts w:hint="eastAsia" w:ascii="仿宋_GB2312" w:hAnsi="仿宋_GB2312" w:eastAsia="仿宋_GB2312" w:cs="仿宋_GB2312"/>
          <w:b/>
          <w:bCs w:val="0"/>
          <w:spacing w:val="-4"/>
          <w:sz w:val="30"/>
          <w:szCs w:val="30"/>
        </w:rPr>
        <w:t>（一）社会保险基金总体情况</w:t>
      </w:r>
    </w:p>
    <w:p>
      <w:pPr>
        <w:tabs>
          <w:tab w:val="left" w:pos="0"/>
        </w:tabs>
        <w:spacing w:line="560" w:lineRule="exact"/>
        <w:ind w:firstLine="600" w:firstLineChars="200"/>
        <w:rPr>
          <w:rFonts w:hint="eastAsia" w:ascii="仿宋_GB2312" w:hAnsi="仿宋_GB2312" w:eastAsia="仿宋_GB2312" w:cs="仿宋_GB2312"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sz w:val="30"/>
          <w:szCs w:val="30"/>
        </w:rPr>
        <w:t>202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年度伊州区各项社保基金收入稳步增长，支出相对增加，总体运行平稳。确保了广大参保人员各项社会保险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金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的按时、足额发放，各项保险覆盖面逐步扩大。在进一步加强社会保险基金预算管理的基础上，确保了各项基金的安全运营。</w:t>
      </w:r>
    </w:p>
    <w:p>
      <w:pPr>
        <w:tabs>
          <w:tab w:val="left" w:pos="0"/>
        </w:tabs>
        <w:spacing w:line="560" w:lineRule="exact"/>
        <w:ind w:firstLine="600" w:firstLineChars="200"/>
        <w:rPr>
          <w:rStyle w:val="21"/>
          <w:rFonts w:hint="eastAsia" w:ascii="仿宋_GB2312" w:hAnsi="仿宋_GB2312" w:eastAsia="仿宋_GB2312" w:cs="仿宋_GB2312"/>
          <w:b w:val="0"/>
          <w:color w:val="auto"/>
          <w:spacing w:val="-4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年伊州区各项基金总收入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56034万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元，较</w:t>
      </w:r>
      <w:r>
        <w:rPr>
          <w:rFonts w:hint="eastAsia" w:ascii="仿宋_GB2312" w:hAnsi="仿宋_GB2312" w:eastAsia="仿宋_GB2312" w:cs="仿宋_GB2312"/>
          <w:bCs/>
          <w:color w:val="auto"/>
          <w:sz w:val="30"/>
          <w:szCs w:val="30"/>
        </w:rPr>
        <w:t>上年</w:t>
      </w:r>
      <w:r>
        <w:rPr>
          <w:rFonts w:hint="eastAsia" w:ascii="仿宋_GB2312" w:hAnsi="仿宋_GB2312" w:eastAsia="仿宋_GB2312" w:cs="仿宋_GB2312"/>
          <w:bCs/>
          <w:color w:val="auto"/>
          <w:sz w:val="30"/>
          <w:szCs w:val="30"/>
          <w:lang w:val="en-US" w:eastAsia="zh-CN"/>
        </w:rPr>
        <w:t>增加5736</w:t>
      </w:r>
      <w:r>
        <w:rPr>
          <w:rFonts w:hint="eastAsia" w:ascii="仿宋_GB2312" w:hAnsi="仿宋_GB2312" w:eastAsia="仿宋_GB2312" w:cs="仿宋_GB2312"/>
          <w:bCs/>
          <w:color w:val="auto"/>
          <w:sz w:val="30"/>
          <w:szCs w:val="30"/>
        </w:rPr>
        <w:t>万元，</w:t>
      </w:r>
      <w:r>
        <w:rPr>
          <w:rFonts w:hint="eastAsia" w:ascii="仿宋_GB2312" w:hAnsi="仿宋_GB2312" w:eastAsia="仿宋_GB2312" w:cs="仿宋_GB2312"/>
          <w:bCs/>
          <w:color w:val="auto"/>
          <w:sz w:val="30"/>
          <w:szCs w:val="30"/>
          <w:lang w:eastAsia="zh-CN"/>
        </w:rPr>
        <w:t>提高</w:t>
      </w:r>
      <w:r>
        <w:rPr>
          <w:rFonts w:hint="eastAsia" w:ascii="仿宋_GB2312" w:hAnsi="仿宋_GB2312" w:eastAsia="仿宋_GB2312" w:cs="仿宋_GB2312"/>
          <w:bCs/>
          <w:color w:val="auto"/>
          <w:sz w:val="30"/>
          <w:szCs w:val="30"/>
          <w:lang w:val="en-US" w:eastAsia="zh-CN"/>
        </w:rPr>
        <w:t>11.41</w:t>
      </w:r>
      <w:r>
        <w:rPr>
          <w:rFonts w:hint="eastAsia" w:ascii="仿宋_GB2312" w:hAnsi="仿宋_GB2312" w:eastAsia="仿宋_GB2312" w:cs="仿宋_GB2312"/>
          <w:bCs/>
          <w:color w:val="auto"/>
          <w:sz w:val="30"/>
          <w:szCs w:val="30"/>
        </w:rPr>
        <w:t>%。各项基金总支出</w:t>
      </w:r>
      <w:r>
        <w:rPr>
          <w:rFonts w:hint="eastAsia" w:ascii="仿宋_GB2312" w:hAnsi="仿宋_GB2312" w:eastAsia="仿宋_GB2312" w:cs="仿宋_GB2312"/>
          <w:bCs/>
          <w:color w:val="auto"/>
          <w:sz w:val="30"/>
          <w:szCs w:val="30"/>
          <w:lang w:val="en-US" w:eastAsia="zh-CN"/>
        </w:rPr>
        <w:t>52712</w:t>
      </w:r>
      <w:r>
        <w:rPr>
          <w:rFonts w:hint="eastAsia" w:ascii="仿宋_GB2312" w:hAnsi="仿宋_GB2312" w:eastAsia="仿宋_GB2312" w:cs="仿宋_GB2312"/>
          <w:bCs/>
          <w:color w:val="auto"/>
          <w:sz w:val="30"/>
          <w:szCs w:val="30"/>
        </w:rPr>
        <w:t>万元，较上年增加</w:t>
      </w:r>
      <w:r>
        <w:rPr>
          <w:rFonts w:hint="eastAsia" w:ascii="仿宋_GB2312" w:hAnsi="仿宋_GB2312" w:eastAsia="仿宋_GB2312" w:cs="仿宋_GB2312"/>
          <w:bCs/>
          <w:color w:val="auto"/>
          <w:sz w:val="30"/>
          <w:szCs w:val="30"/>
          <w:lang w:val="en-US" w:eastAsia="zh-CN"/>
        </w:rPr>
        <w:t>2902</w:t>
      </w:r>
      <w:r>
        <w:rPr>
          <w:rFonts w:hint="eastAsia" w:ascii="仿宋_GB2312" w:hAnsi="仿宋_GB2312" w:eastAsia="仿宋_GB2312" w:cs="仿宋_GB2312"/>
          <w:bCs/>
          <w:color w:val="auto"/>
          <w:sz w:val="30"/>
          <w:szCs w:val="30"/>
        </w:rPr>
        <w:t>万元，增长</w:t>
      </w:r>
      <w:r>
        <w:rPr>
          <w:rFonts w:hint="eastAsia" w:ascii="仿宋_GB2312" w:hAnsi="仿宋_GB2312" w:eastAsia="仿宋_GB2312" w:cs="仿宋_GB2312"/>
          <w:bCs/>
          <w:color w:val="auto"/>
          <w:sz w:val="30"/>
          <w:szCs w:val="30"/>
          <w:lang w:val="en-US" w:eastAsia="zh-CN"/>
        </w:rPr>
        <w:t>5.83</w:t>
      </w:r>
      <w:r>
        <w:rPr>
          <w:rFonts w:hint="eastAsia" w:ascii="仿宋_GB2312" w:hAnsi="仿宋_GB2312" w:eastAsia="仿宋_GB2312" w:cs="仿宋_GB2312"/>
          <w:bCs/>
          <w:color w:val="auto"/>
          <w:sz w:val="30"/>
          <w:szCs w:val="30"/>
        </w:rPr>
        <w:t>%。基金当期结余</w:t>
      </w:r>
      <w:r>
        <w:rPr>
          <w:rFonts w:hint="eastAsia" w:ascii="仿宋_GB2312" w:hAnsi="仿宋_GB2312" w:eastAsia="仿宋_GB2312" w:cs="仿宋_GB2312"/>
          <w:bCs/>
          <w:color w:val="auto"/>
          <w:sz w:val="30"/>
          <w:szCs w:val="30"/>
          <w:lang w:val="en-US" w:eastAsia="zh-CN"/>
        </w:rPr>
        <w:t>3322</w:t>
      </w:r>
      <w:r>
        <w:rPr>
          <w:rFonts w:hint="eastAsia" w:ascii="仿宋_GB2312" w:hAnsi="仿宋_GB2312" w:eastAsia="仿宋_GB2312" w:cs="仿宋_GB2312"/>
          <w:bCs/>
          <w:color w:val="auto"/>
          <w:sz w:val="30"/>
          <w:szCs w:val="30"/>
        </w:rPr>
        <w:t>万元，滚存结余</w:t>
      </w:r>
      <w:r>
        <w:rPr>
          <w:rFonts w:hint="eastAsia" w:ascii="仿宋_GB2312" w:hAnsi="仿宋_GB2312" w:eastAsia="仿宋_GB2312" w:cs="仿宋_GB2312"/>
          <w:bCs/>
          <w:color w:val="auto"/>
          <w:sz w:val="30"/>
          <w:szCs w:val="30"/>
          <w:lang w:val="en-US" w:eastAsia="zh-CN"/>
        </w:rPr>
        <w:t>20114</w:t>
      </w:r>
      <w:r>
        <w:rPr>
          <w:rFonts w:hint="eastAsia" w:ascii="仿宋_GB2312" w:hAnsi="仿宋_GB2312" w:eastAsia="仿宋_GB2312" w:cs="仿宋_GB2312"/>
          <w:bCs/>
          <w:color w:val="auto"/>
          <w:sz w:val="30"/>
          <w:szCs w:val="30"/>
        </w:rPr>
        <w:t>万元。</w:t>
      </w:r>
    </w:p>
    <w:p>
      <w:pPr>
        <w:spacing w:line="560" w:lineRule="exact"/>
        <w:ind w:firstLine="567"/>
        <w:outlineLvl w:val="1"/>
        <w:rPr>
          <w:rStyle w:val="21"/>
          <w:rFonts w:hint="eastAsia" w:ascii="仿宋_GB2312" w:hAnsi="仿宋_GB2312" w:eastAsia="仿宋_GB2312" w:cs="仿宋_GB2312"/>
          <w:b/>
          <w:bCs w:val="0"/>
          <w:spacing w:val="-4"/>
          <w:sz w:val="30"/>
          <w:szCs w:val="30"/>
        </w:rPr>
      </w:pPr>
      <w:r>
        <w:rPr>
          <w:rStyle w:val="21"/>
          <w:rFonts w:hint="eastAsia" w:ascii="仿宋_GB2312" w:hAnsi="仿宋_GB2312" w:eastAsia="仿宋_GB2312" w:cs="仿宋_GB2312"/>
          <w:b/>
          <w:bCs w:val="0"/>
          <w:spacing w:val="-4"/>
          <w:sz w:val="30"/>
          <w:szCs w:val="30"/>
        </w:rPr>
        <w:t>（二）社会保险基金支出预算绩效目标设定情况</w:t>
      </w:r>
    </w:p>
    <w:p>
      <w:pPr>
        <w:spacing w:line="560" w:lineRule="exact"/>
        <w:ind w:firstLine="602" w:firstLineChars="200"/>
        <w:rPr>
          <w:rFonts w:hint="eastAsia" w:ascii="仿宋_GB2312" w:hAnsi="仿宋_GB2312" w:eastAsia="仿宋_GB2312" w:cs="仿宋_GB2312"/>
          <w:b/>
          <w:bCs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 w:val="0"/>
          <w:sz w:val="30"/>
          <w:szCs w:val="30"/>
        </w:rPr>
        <w:t>（包括基金支出预算目标及阶段性目标；项目用途和主要内容、涉及对象及人数范围等）</w:t>
      </w:r>
    </w:p>
    <w:p>
      <w:pPr>
        <w:spacing w:line="560" w:lineRule="exact"/>
        <w:ind w:firstLine="600" w:firstLineChars="200"/>
        <w:rPr>
          <w:rFonts w:hint="eastAsia" w:ascii="仿宋_GB2312" w:hAnsi="仿宋_GB2312" w:eastAsia="仿宋_GB2312" w:cs="仿宋_GB2312"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sz w:val="30"/>
          <w:szCs w:val="30"/>
        </w:rPr>
        <w:t>202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年预算伊州区机关事业养老保险（改革）基金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预算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总支出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44948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万元</w:t>
      </w: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其中：基本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养老金待遇支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44798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万元。全年保障离退休人员</w:t>
      </w:r>
      <w:r>
        <w:rPr>
          <w:rFonts w:hint="eastAsia" w:ascii="仿宋_GB2312" w:hAnsi="仿宋_GB2312" w:eastAsia="仿宋_GB2312" w:cs="仿宋_GB2312"/>
          <w:bCs/>
          <w:color w:val="auto"/>
          <w:sz w:val="30"/>
          <w:szCs w:val="30"/>
          <w:lang w:val="en-US" w:eastAsia="zh-CN"/>
        </w:rPr>
        <w:t>6517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人的基本养老金待遇发放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全年预算支出执行目标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95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%以上，伊州区承诺在每月１5日前按时足额发放养老金，首次待遇发放准确率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％，参保群众满意率9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%以上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eastAsia="zh-CN"/>
        </w:rPr>
        <w:t>，确保离退休人员按期足额领取养老金，按期调整待遇，让离退休人员享受国家发展改革成果，安享晚年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。</w:t>
      </w:r>
    </w:p>
    <w:p>
      <w:pPr>
        <w:spacing w:line="56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202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0"/>
          <w:szCs w:val="30"/>
        </w:rPr>
        <w:t>年预算伊州区城乡居民养老保险基金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预算</w:t>
      </w:r>
      <w:r>
        <w:rPr>
          <w:rFonts w:hint="eastAsia" w:ascii="仿宋_GB2312" w:hAnsi="仿宋_GB2312" w:eastAsia="仿宋_GB2312" w:cs="仿宋_GB2312"/>
          <w:sz w:val="30"/>
          <w:szCs w:val="30"/>
        </w:rPr>
        <w:t>总支出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  <w:lang w:val="en-US" w:eastAsia="zh-CN"/>
        </w:rPr>
        <w:t>6967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其中：社会保险</w:t>
      </w:r>
      <w:r>
        <w:rPr>
          <w:rFonts w:hint="eastAsia" w:ascii="仿宋_GB2312" w:hAnsi="仿宋_GB2312" w:eastAsia="仿宋_GB2312" w:cs="仿宋_GB2312"/>
          <w:sz w:val="30"/>
          <w:szCs w:val="30"/>
        </w:rPr>
        <w:t>待遇支出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6941.71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0"/>
          <w:szCs w:val="30"/>
        </w:rPr>
        <w:t>全年保障离退休人员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16347</w:t>
      </w:r>
      <w:r>
        <w:rPr>
          <w:rFonts w:hint="eastAsia" w:ascii="仿宋_GB2312" w:hAnsi="仿宋_GB2312" w:eastAsia="仿宋_GB2312" w:cs="仿宋_GB2312"/>
          <w:sz w:val="30"/>
          <w:szCs w:val="30"/>
        </w:rPr>
        <w:t>人的养老金待遇发放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0"/>
          <w:szCs w:val="30"/>
        </w:rPr>
        <w:t>全年预算支出执行目标97%以上，伊州区承诺在每月25日前按时足额发放养老金，首次待遇发放准确率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sz w:val="30"/>
          <w:szCs w:val="30"/>
        </w:rPr>
        <w:t>，参保群众满意率9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0"/>
          <w:szCs w:val="30"/>
        </w:rPr>
        <w:t>%以上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，确保退休人员按期足额领取养老金，让离退休人员享受国家发展改革成果，安享晚年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</w:p>
    <w:p>
      <w:pPr>
        <w:spacing w:line="560" w:lineRule="exact"/>
        <w:ind w:firstLine="880" w:firstLineChars="300"/>
        <w:outlineLvl w:val="0"/>
        <w:rPr>
          <w:rStyle w:val="21"/>
          <w:rFonts w:hint="eastAsia" w:ascii="黑体" w:hAnsi="黑体" w:eastAsia="黑体" w:cs="黑体"/>
          <w:bCs w:val="0"/>
          <w:spacing w:val="-4"/>
          <w:sz w:val="30"/>
          <w:szCs w:val="30"/>
        </w:rPr>
      </w:pPr>
      <w:r>
        <w:rPr>
          <w:rStyle w:val="21"/>
          <w:rFonts w:hint="eastAsia" w:ascii="黑体" w:hAnsi="黑体" w:eastAsia="黑体" w:cs="黑体"/>
          <w:bCs w:val="0"/>
          <w:spacing w:val="-4"/>
          <w:sz w:val="30"/>
          <w:szCs w:val="30"/>
        </w:rPr>
        <w:t>二、各项社会保险基金预算完成及运行情况</w:t>
      </w:r>
    </w:p>
    <w:p>
      <w:pPr>
        <w:spacing w:line="560" w:lineRule="exact"/>
        <w:ind w:firstLine="567"/>
        <w:outlineLvl w:val="1"/>
        <w:rPr>
          <w:rStyle w:val="21"/>
          <w:rFonts w:hint="eastAsia" w:ascii="仿宋_GB2312" w:hAnsi="仿宋_GB2312" w:eastAsia="仿宋_GB2312" w:cs="仿宋_GB2312"/>
          <w:b/>
          <w:bCs w:val="0"/>
          <w:spacing w:val="-4"/>
          <w:sz w:val="30"/>
          <w:szCs w:val="30"/>
        </w:rPr>
      </w:pPr>
      <w:r>
        <w:rPr>
          <w:rStyle w:val="21"/>
          <w:rFonts w:hint="eastAsia" w:ascii="仿宋_GB2312" w:hAnsi="仿宋_GB2312" w:eastAsia="仿宋_GB2312" w:cs="仿宋_GB2312"/>
          <w:b/>
          <w:bCs w:val="0"/>
          <w:spacing w:val="-4"/>
          <w:sz w:val="30"/>
          <w:szCs w:val="30"/>
        </w:rPr>
        <w:t>（</w:t>
      </w:r>
      <w:r>
        <w:rPr>
          <w:rStyle w:val="21"/>
          <w:rFonts w:hint="eastAsia" w:ascii="仿宋_GB2312" w:hAnsi="仿宋_GB2312" w:eastAsia="仿宋_GB2312" w:cs="仿宋_GB2312"/>
          <w:b/>
          <w:bCs w:val="0"/>
          <w:spacing w:val="-4"/>
          <w:sz w:val="30"/>
          <w:szCs w:val="30"/>
          <w:lang w:eastAsia="zh-CN"/>
        </w:rPr>
        <w:t>一</w:t>
      </w:r>
      <w:r>
        <w:rPr>
          <w:rStyle w:val="21"/>
          <w:rFonts w:hint="eastAsia" w:ascii="仿宋_GB2312" w:hAnsi="仿宋_GB2312" w:eastAsia="仿宋_GB2312" w:cs="仿宋_GB2312"/>
          <w:b/>
          <w:bCs w:val="0"/>
          <w:spacing w:val="-4"/>
          <w:sz w:val="30"/>
          <w:szCs w:val="30"/>
        </w:rPr>
        <w:t>）机关事业单位养老保险基金</w:t>
      </w:r>
    </w:p>
    <w:p>
      <w:pPr>
        <w:spacing w:line="560" w:lineRule="exact"/>
        <w:ind w:firstLine="600" w:firstLineChars="200"/>
        <w:rPr>
          <w:rFonts w:hint="eastAsia" w:ascii="仿宋_GB2312" w:hAnsi="仿宋_GB2312" w:eastAsia="仿宋_GB2312" w:cs="仿宋_GB2312"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sz w:val="30"/>
          <w:szCs w:val="30"/>
        </w:rPr>
        <w:t>202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年度伊州区机关事业单位养老保险基金收入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47368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万元，其中：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eastAsia="zh-CN"/>
        </w:rPr>
        <w:t>基本养老保险费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收入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24489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万元、利息收入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万元、财政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eastAsia="zh-CN"/>
        </w:rPr>
        <w:t>补贴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收入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18748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万元，其他收入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万元，转移收入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191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万元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eastAsia="zh-CN"/>
        </w:rPr>
        <w:t>，上级补助收入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3918万元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。</w:t>
      </w:r>
    </w:p>
    <w:p>
      <w:pPr>
        <w:spacing w:line="560" w:lineRule="exact"/>
        <w:ind w:firstLine="600" w:firstLineChars="200"/>
        <w:rPr>
          <w:rFonts w:hint="eastAsia" w:ascii="仿宋_GB2312" w:hAnsi="仿宋_GB2312" w:eastAsia="仿宋_GB2312" w:cs="仿宋_GB2312"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sz w:val="30"/>
          <w:szCs w:val="30"/>
        </w:rPr>
        <w:t>202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年度伊州区</w:t>
      </w:r>
      <w:r>
        <w:rPr>
          <w:rStyle w:val="21"/>
          <w:rFonts w:hint="eastAsia" w:ascii="仿宋_GB2312" w:hAnsi="仿宋_GB2312" w:eastAsia="仿宋_GB2312" w:cs="仿宋_GB2312"/>
          <w:b w:val="0"/>
          <w:spacing w:val="-4"/>
          <w:sz w:val="30"/>
          <w:szCs w:val="30"/>
        </w:rPr>
        <w:t>机关事业单位养老保险基金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总支出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45747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万元，其中：基本养老金支出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45673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万元。基金当期结余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1621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万元，滚存结余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4373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万元。</w:t>
      </w:r>
    </w:p>
    <w:p>
      <w:pPr>
        <w:spacing w:line="560" w:lineRule="exact"/>
        <w:ind w:firstLine="584" w:firstLineChars="200"/>
        <w:rPr>
          <w:rFonts w:hint="eastAsia" w:ascii="仿宋_GB2312" w:hAnsi="仿宋_GB2312" w:eastAsia="仿宋_GB2312" w:cs="仿宋_GB2312"/>
          <w:bCs/>
          <w:color w:val="auto"/>
          <w:sz w:val="30"/>
          <w:szCs w:val="30"/>
        </w:rPr>
      </w:pPr>
      <w:r>
        <w:rPr>
          <w:rStyle w:val="21"/>
          <w:rFonts w:hint="eastAsia" w:ascii="仿宋_GB2312" w:hAnsi="仿宋_GB2312" w:eastAsia="仿宋_GB2312" w:cs="仿宋_GB2312"/>
          <w:b w:val="0"/>
          <w:spacing w:val="-4"/>
          <w:sz w:val="30"/>
          <w:szCs w:val="30"/>
        </w:rPr>
        <w:t>机关事业单位养老保险基金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总支出预算44948万元，预算执行数45747万元，预算执行率101.78%，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基金总支出较上年增加</w:t>
      </w:r>
      <w:r>
        <w:rPr>
          <w:rFonts w:hint="eastAsia" w:ascii="仿宋_GB2312" w:hAnsi="仿宋_GB2312" w:eastAsia="仿宋_GB2312" w:cs="仿宋_GB2312"/>
          <w:bCs/>
          <w:color w:val="auto"/>
          <w:sz w:val="30"/>
          <w:szCs w:val="30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bCs/>
          <w:color w:val="auto"/>
          <w:sz w:val="30"/>
          <w:szCs w:val="30"/>
        </w:rPr>
        <w:t>万元，增长</w:t>
      </w:r>
      <w:r>
        <w:rPr>
          <w:rFonts w:hint="eastAsia" w:ascii="仿宋_GB2312" w:hAnsi="仿宋_GB2312" w:eastAsia="仿宋_GB2312" w:cs="仿宋_GB2312"/>
          <w:bCs/>
          <w:color w:val="auto"/>
          <w:sz w:val="30"/>
          <w:szCs w:val="30"/>
          <w:lang w:val="en-US" w:eastAsia="zh-CN"/>
        </w:rPr>
        <w:t>4.71</w:t>
      </w:r>
      <w:r>
        <w:rPr>
          <w:rFonts w:hint="eastAsia" w:ascii="仿宋_GB2312" w:hAnsi="仿宋_GB2312" w:eastAsia="仿宋_GB2312" w:cs="仿宋_GB2312"/>
          <w:bCs/>
          <w:color w:val="auto"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bCs/>
          <w:color w:val="auto"/>
          <w:sz w:val="30"/>
          <w:szCs w:val="30"/>
          <w:lang w:eastAsia="zh-CN"/>
        </w:rPr>
        <w:t>。</w:t>
      </w:r>
    </w:p>
    <w:p>
      <w:pPr>
        <w:spacing w:line="560" w:lineRule="exact"/>
        <w:ind w:firstLine="586" w:firstLineChars="200"/>
        <w:outlineLvl w:val="1"/>
        <w:rPr>
          <w:rStyle w:val="21"/>
          <w:rFonts w:hint="eastAsia" w:ascii="仿宋_GB2312" w:hAnsi="仿宋_GB2312" w:eastAsia="仿宋_GB2312" w:cs="仿宋_GB2312"/>
          <w:b/>
          <w:bCs w:val="0"/>
          <w:spacing w:val="-4"/>
          <w:sz w:val="30"/>
          <w:szCs w:val="30"/>
        </w:rPr>
      </w:pPr>
      <w:r>
        <w:rPr>
          <w:rStyle w:val="21"/>
          <w:rFonts w:hint="eastAsia" w:ascii="仿宋_GB2312" w:hAnsi="仿宋_GB2312" w:eastAsia="仿宋_GB2312" w:cs="仿宋_GB2312"/>
          <w:b/>
          <w:bCs w:val="0"/>
          <w:spacing w:val="-4"/>
          <w:sz w:val="30"/>
          <w:szCs w:val="30"/>
        </w:rPr>
        <w:t>（</w:t>
      </w:r>
      <w:r>
        <w:rPr>
          <w:rStyle w:val="21"/>
          <w:rFonts w:hint="eastAsia" w:ascii="仿宋_GB2312" w:hAnsi="仿宋_GB2312" w:eastAsia="仿宋_GB2312" w:cs="仿宋_GB2312"/>
          <w:b/>
          <w:bCs w:val="0"/>
          <w:spacing w:val="-4"/>
          <w:sz w:val="30"/>
          <w:szCs w:val="30"/>
          <w:lang w:eastAsia="zh-CN"/>
        </w:rPr>
        <w:t>二</w:t>
      </w:r>
      <w:r>
        <w:rPr>
          <w:rStyle w:val="21"/>
          <w:rFonts w:hint="eastAsia" w:ascii="仿宋_GB2312" w:hAnsi="仿宋_GB2312" w:eastAsia="仿宋_GB2312" w:cs="仿宋_GB2312"/>
          <w:b/>
          <w:bCs w:val="0"/>
          <w:spacing w:val="-4"/>
          <w:sz w:val="30"/>
          <w:szCs w:val="30"/>
        </w:rPr>
        <w:t>）城乡居民养老保险基金</w:t>
      </w:r>
    </w:p>
    <w:p>
      <w:pPr>
        <w:spacing w:line="560" w:lineRule="exact"/>
        <w:ind w:firstLine="600" w:firstLineChars="200"/>
        <w:rPr>
          <w:rFonts w:hint="eastAsia" w:ascii="仿宋_GB2312" w:hAnsi="仿宋_GB2312" w:eastAsia="仿宋_GB2312" w:cs="仿宋_GB2312"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sz w:val="30"/>
          <w:szCs w:val="30"/>
        </w:rPr>
        <w:t>202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年度伊州区城乡居民养老保险基金总收入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8666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万元，其中：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eastAsia="zh-CN"/>
        </w:rPr>
        <w:t>个人缴费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收入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1597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万元、利息收入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124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万元、财政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eastAsia="zh-CN"/>
        </w:rPr>
        <w:t>补贴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收入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6841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万元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eastAsia="zh-CN"/>
        </w:rPr>
        <w:t>、委托投资收益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15万元、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其他收入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万元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eastAsia="zh-CN"/>
        </w:rPr>
        <w:t>、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转移收入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87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万元。</w:t>
      </w:r>
    </w:p>
    <w:p>
      <w:pPr>
        <w:spacing w:line="560" w:lineRule="exact"/>
        <w:ind w:firstLine="600" w:firstLineChars="200"/>
        <w:rPr>
          <w:rFonts w:hint="eastAsia" w:ascii="仿宋_GB2312" w:hAnsi="仿宋_GB2312" w:eastAsia="仿宋_GB2312" w:cs="仿宋_GB2312"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sz w:val="30"/>
          <w:szCs w:val="30"/>
        </w:rPr>
        <w:t>202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年度伊州区城乡居民养老保险基金总支出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6965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万元，其中：基础养老金支出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6632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万元，个人账户养老金支出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250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万元，丧葬抚恤支出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75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万元，转移支出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万元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,其他支出4万元。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。基金当期结余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1701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万元，滚存结余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15741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万元。</w:t>
      </w:r>
    </w:p>
    <w:p>
      <w:pPr>
        <w:spacing w:line="56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0"/>
          <w:szCs w:val="30"/>
        </w:rPr>
        <w:t>伊州区城乡居民养老保险基金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总支出预算</w:t>
      </w:r>
      <w:r>
        <w:rPr>
          <w:rFonts w:hint="eastAsia" w:ascii="仿宋_GB2312" w:hAnsi="仿宋_GB2312" w:eastAsia="仿宋_GB2312" w:cs="仿宋_GB2312"/>
          <w:bCs/>
          <w:sz w:val="30"/>
          <w:szCs w:val="30"/>
          <w:highlight w:val="none"/>
          <w:lang w:val="en-US" w:eastAsia="zh-CN"/>
        </w:rPr>
        <w:t>6967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万元，预算执行</w:t>
      </w:r>
      <w:r>
        <w:rPr>
          <w:rFonts w:hint="eastAsia" w:ascii="仿宋_GB2312" w:hAnsi="仿宋_GB2312" w:eastAsia="仿宋_GB2312" w:cs="仿宋_GB2312"/>
          <w:bCs/>
          <w:sz w:val="30"/>
          <w:szCs w:val="30"/>
          <w:highlight w:val="none"/>
          <w:lang w:val="en-US" w:eastAsia="zh-CN"/>
        </w:rPr>
        <w:t>数6965万元，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预算执行率99.97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%，该</w:t>
      </w:r>
      <w:r>
        <w:rPr>
          <w:rFonts w:hint="eastAsia" w:ascii="仿宋_GB2312" w:hAnsi="仿宋_GB2312" w:eastAsia="仿宋_GB2312" w:cs="仿宋_GB2312"/>
          <w:sz w:val="30"/>
          <w:szCs w:val="30"/>
        </w:rPr>
        <w:t>基金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总支出较上年增加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83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万元，增长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1.21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eastAsia="zh-CN"/>
        </w:rPr>
        <w:t>。</w:t>
      </w:r>
    </w:p>
    <w:p>
      <w:pPr>
        <w:spacing w:line="560" w:lineRule="exact"/>
        <w:ind w:firstLine="640"/>
        <w:outlineLvl w:val="0"/>
        <w:rPr>
          <w:rStyle w:val="21"/>
          <w:rFonts w:hint="eastAsia" w:ascii="黑体" w:hAnsi="黑体" w:eastAsia="黑体" w:cs="黑体"/>
          <w:bCs w:val="0"/>
          <w:spacing w:val="-4"/>
          <w:sz w:val="30"/>
          <w:szCs w:val="30"/>
        </w:rPr>
      </w:pPr>
      <w:r>
        <w:rPr>
          <w:rStyle w:val="21"/>
          <w:rFonts w:hint="eastAsia" w:ascii="黑体" w:hAnsi="黑体" w:eastAsia="黑体" w:cs="黑体"/>
          <w:bCs w:val="0"/>
          <w:spacing w:val="-4"/>
          <w:sz w:val="30"/>
          <w:szCs w:val="30"/>
          <w:lang w:val="en-US" w:eastAsia="zh-CN"/>
        </w:rPr>
        <w:t>三、</w:t>
      </w:r>
      <w:r>
        <w:rPr>
          <w:rStyle w:val="21"/>
          <w:rFonts w:hint="eastAsia" w:ascii="黑体" w:hAnsi="黑体" w:eastAsia="黑体" w:cs="黑体"/>
          <w:bCs w:val="0"/>
          <w:spacing w:val="-4"/>
          <w:sz w:val="30"/>
          <w:szCs w:val="30"/>
        </w:rPr>
        <w:t>各项社会保险基金支出组织实施情况和绩效管理情况</w:t>
      </w:r>
    </w:p>
    <w:p>
      <w:pPr>
        <w:spacing w:line="560" w:lineRule="exact"/>
        <w:ind w:firstLine="567"/>
        <w:outlineLvl w:val="1"/>
        <w:rPr>
          <w:rStyle w:val="21"/>
          <w:rFonts w:hint="eastAsia" w:ascii="仿宋_GB2312" w:hAnsi="仿宋_GB2312" w:eastAsia="仿宋_GB2312" w:cs="仿宋_GB2312"/>
          <w:b/>
          <w:bCs w:val="0"/>
          <w:color w:val="auto"/>
          <w:spacing w:val="-4"/>
          <w:sz w:val="30"/>
          <w:szCs w:val="30"/>
        </w:rPr>
      </w:pPr>
      <w:r>
        <w:rPr>
          <w:rStyle w:val="21"/>
          <w:rFonts w:hint="eastAsia" w:ascii="仿宋_GB2312" w:hAnsi="仿宋_GB2312" w:eastAsia="仿宋_GB2312" w:cs="仿宋_GB2312"/>
          <w:b/>
          <w:bCs w:val="0"/>
          <w:color w:val="auto"/>
          <w:spacing w:val="-4"/>
          <w:sz w:val="30"/>
          <w:szCs w:val="30"/>
        </w:rPr>
        <w:t>（一）社会保险管理情况分析</w:t>
      </w:r>
    </w:p>
    <w:p>
      <w:pPr>
        <w:spacing w:line="560" w:lineRule="exact"/>
        <w:ind w:firstLine="600" w:firstLineChars="200"/>
        <w:jc w:val="left"/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>2022年严格按照机关事业单位养老保险政策规定，确保机关事业单位退休人员纳入社保后养老保险待遇按时足额发放，同时为符合条件的退休人员调整了基本养老金。在执行过程中明确岗位分工，规范经办权限使用，确保养老保险政策精准落实到位。</w:t>
      </w:r>
    </w:p>
    <w:p>
      <w:pPr>
        <w:spacing w:line="560" w:lineRule="exact"/>
        <w:ind w:firstLine="600" w:firstLineChars="200"/>
        <w:jc w:val="left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lang w:val="en-US" w:eastAsia="zh-CN"/>
        </w:rPr>
        <w:t xml:space="preserve">2022年我区稳步推进城乡居民养老保险参保扩面工作，认真做好缴费困难人员代缴养老保险费及待遇领取工作。2022年城乡居民养老待遇实行全程电子化发放，每月及时足额为符合条件的人员发放待遇，并且按照人社部的文件的精神要求及时做好调资工作并发放到位。    </w:t>
      </w:r>
    </w:p>
    <w:p>
      <w:pPr>
        <w:spacing w:line="560" w:lineRule="exact"/>
        <w:ind w:firstLine="567"/>
        <w:outlineLvl w:val="1"/>
        <w:rPr>
          <w:rStyle w:val="21"/>
          <w:rFonts w:hint="eastAsia" w:ascii="仿宋_GB2312" w:hAnsi="仿宋_GB2312" w:eastAsia="仿宋_GB2312" w:cs="仿宋_GB2312"/>
          <w:b w:val="0"/>
          <w:spacing w:val="-4"/>
          <w:sz w:val="30"/>
          <w:szCs w:val="30"/>
        </w:rPr>
      </w:pPr>
      <w:r>
        <w:rPr>
          <w:rStyle w:val="21"/>
          <w:rFonts w:hint="eastAsia" w:ascii="仿宋_GB2312" w:hAnsi="仿宋_GB2312" w:eastAsia="仿宋_GB2312" w:cs="仿宋_GB2312"/>
          <w:b/>
          <w:bCs w:val="0"/>
          <w:spacing w:val="-4"/>
          <w:sz w:val="30"/>
          <w:szCs w:val="30"/>
        </w:rPr>
        <w:t>（二）绩效目标完成情况分析</w:t>
      </w:r>
    </w:p>
    <w:p>
      <w:pPr>
        <w:spacing w:line="560" w:lineRule="exact"/>
        <w:ind w:firstLine="584" w:firstLineChars="200"/>
        <w:rPr>
          <w:rFonts w:hint="eastAsia" w:ascii="仿宋_GB2312" w:hAnsi="仿宋_GB2312" w:eastAsia="仿宋_GB2312" w:cs="仿宋_GB2312"/>
          <w:bCs/>
          <w:spacing w:val="-4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spacing w:val="-4"/>
          <w:sz w:val="30"/>
          <w:szCs w:val="30"/>
        </w:rPr>
        <w:t>202</w:t>
      </w:r>
      <w:r>
        <w:rPr>
          <w:rFonts w:hint="eastAsia" w:ascii="仿宋_GB2312" w:hAnsi="仿宋_GB2312" w:eastAsia="仿宋_GB2312" w:cs="仿宋_GB2312"/>
          <w:bCs/>
          <w:spacing w:val="-4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spacing w:val="-4"/>
          <w:sz w:val="30"/>
          <w:szCs w:val="30"/>
        </w:rPr>
        <w:t>年全年伊州区没有因为参保职工待遇问题引起上访等社会问题，群众上访率为0。各项社会保险待遇也在规定时限内报销或足额领取待遇，社会满意度95%以上，圆满保障了退休人员的晚年生活</w:t>
      </w:r>
      <w:r>
        <w:rPr>
          <w:rFonts w:hint="eastAsia" w:ascii="仿宋_GB2312" w:hAnsi="仿宋_GB2312" w:eastAsia="仿宋_GB2312" w:cs="仿宋_GB2312"/>
          <w:bCs/>
          <w:spacing w:val="-4"/>
          <w:sz w:val="30"/>
          <w:szCs w:val="30"/>
          <w:lang w:eastAsia="zh-CN"/>
        </w:rPr>
        <w:t>，持续稳定推动养老保险政策的发展，</w:t>
      </w:r>
      <w:r>
        <w:rPr>
          <w:rFonts w:hint="eastAsia" w:ascii="仿宋_GB2312" w:hAnsi="仿宋_GB2312" w:eastAsia="仿宋_GB2312" w:cs="仿宋_GB2312"/>
          <w:bCs/>
          <w:spacing w:val="-4"/>
          <w:sz w:val="30"/>
          <w:szCs w:val="30"/>
        </w:rPr>
        <w:t>坚定维护了新疆社会稳定和长治久安。</w:t>
      </w:r>
    </w:p>
    <w:p>
      <w:pPr>
        <w:spacing w:line="560" w:lineRule="exact"/>
        <w:ind w:firstLine="567"/>
        <w:outlineLvl w:val="2"/>
        <w:rPr>
          <w:rStyle w:val="21"/>
          <w:rFonts w:hint="eastAsia" w:ascii="仿宋_GB2312" w:hAnsi="仿宋_GB2312" w:eastAsia="仿宋_GB2312" w:cs="仿宋_GB2312"/>
          <w:b/>
          <w:bCs w:val="0"/>
          <w:spacing w:val="-4"/>
          <w:sz w:val="30"/>
          <w:szCs w:val="30"/>
        </w:rPr>
      </w:pPr>
      <w:r>
        <w:rPr>
          <w:rStyle w:val="21"/>
          <w:rFonts w:hint="eastAsia" w:ascii="仿宋_GB2312" w:hAnsi="仿宋_GB2312" w:eastAsia="仿宋_GB2312" w:cs="仿宋_GB2312"/>
          <w:b/>
          <w:bCs w:val="0"/>
          <w:spacing w:val="-4"/>
          <w:sz w:val="30"/>
          <w:szCs w:val="30"/>
          <w:lang w:val="en-US" w:eastAsia="zh-CN"/>
        </w:rPr>
        <w:t>1</w:t>
      </w:r>
      <w:r>
        <w:rPr>
          <w:rStyle w:val="21"/>
          <w:rFonts w:hint="eastAsia" w:ascii="仿宋_GB2312" w:hAnsi="仿宋_GB2312" w:eastAsia="仿宋_GB2312" w:cs="仿宋_GB2312"/>
          <w:b/>
          <w:bCs w:val="0"/>
          <w:spacing w:val="-4"/>
          <w:sz w:val="30"/>
          <w:szCs w:val="30"/>
        </w:rPr>
        <w:t>、机关事业单位养老保险基金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outlineLvl w:val="9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数量指标：补助机关事业单位基本养老保险领取待遇人数目标值大于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15842人，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实际完成值=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19336人次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，完成率=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数量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指标：基本养老保险发放次数目标值大于等于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12次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，实际完成值=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12次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，完成率=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%</w:t>
      </w:r>
    </w:p>
    <w:p>
      <w:pPr>
        <w:pStyle w:val="2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质量指标：保障机关事业单位退休人员覆盖率目标值=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，实际完成值=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，完成率=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质量指标：符合条件的机关事业单位退休人员基本养老金足额发放率目标值=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，实际完成值=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，完成率=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质量指标：符合条件的机关事业单位退休人员基本养老金按时发放率目标值=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，实际完成值=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，完成率=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时效指标：在规定时限内拨付补助资金的地区比例目标值=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，实际完成值=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，完成率=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时效指标：基础养老金发放到位率目标值=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，实际完成值=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，完成率=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时效指标：基础养老金发放及时率目标值=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，实际完成值=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，完成率=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成本指标：机关事业单位养老金发放总成本目标值小于等于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44948万元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，实际完成值=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45747万元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，完成率=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101.77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经济效益指标：提高退休人员收入水平目标值=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，实际完成值=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，完成率=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社会效益指标：建立覆盖全民、更加公平的社会保障制度目标值持续推动，实际完成值持续推动，完成率=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社会效益指标：机关事业单位基本养老保险参保率目标值=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，实际完成值=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，完成率=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可持续影响指标：对机关事业单位基本养老保险制度可持续发展目标值有效推动，实际完成值有效推动，完成率=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满意度指标：政策知晓率指标目标值大于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95%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，实际完成值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96%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，完成率=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满意度指标：群众满意度指标目标值大于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95%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，实际完成值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97%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，完成率=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%</w:t>
      </w:r>
    </w:p>
    <w:p>
      <w:pPr>
        <w:spacing w:line="560" w:lineRule="exact"/>
        <w:ind w:firstLine="586" w:firstLineChars="200"/>
        <w:outlineLvl w:val="2"/>
        <w:rPr>
          <w:rStyle w:val="21"/>
          <w:rFonts w:hint="eastAsia" w:ascii="仿宋_GB2312" w:hAnsi="仿宋_GB2312" w:eastAsia="仿宋_GB2312" w:cs="仿宋_GB2312"/>
          <w:b/>
          <w:bCs w:val="0"/>
          <w:spacing w:val="-4"/>
          <w:sz w:val="30"/>
          <w:szCs w:val="30"/>
        </w:rPr>
      </w:pPr>
      <w:r>
        <w:rPr>
          <w:rStyle w:val="21"/>
          <w:rFonts w:hint="eastAsia" w:ascii="仿宋_GB2312" w:hAnsi="仿宋_GB2312" w:eastAsia="仿宋_GB2312" w:cs="仿宋_GB2312"/>
          <w:b/>
          <w:bCs w:val="0"/>
          <w:spacing w:val="-4"/>
          <w:sz w:val="30"/>
          <w:szCs w:val="30"/>
          <w:lang w:val="en-US" w:eastAsia="zh-CN"/>
        </w:rPr>
        <w:t>2</w:t>
      </w:r>
      <w:r>
        <w:rPr>
          <w:rStyle w:val="21"/>
          <w:rFonts w:hint="eastAsia" w:ascii="仿宋_GB2312" w:hAnsi="仿宋_GB2312" w:eastAsia="仿宋_GB2312" w:cs="仿宋_GB2312"/>
          <w:b/>
          <w:bCs w:val="0"/>
          <w:spacing w:val="-4"/>
          <w:sz w:val="30"/>
          <w:szCs w:val="30"/>
        </w:rPr>
        <w:t>、城乡居民养老保险基金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数量指标：城乡居民基本样啊咯保险待遇领取人数目标值大于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2427人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，实际完成值=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17192人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，完成率=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质量指标：中央基础养老金标准目标值=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93元/人/月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，实际完成值=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98元/人/月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，完成率=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质量指标：符合城乡居民基本养老金足额发放率目标值=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%，实际完成值=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%，完成率=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质量指标：符合城乡居民基本养老金按时发放率目标值=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，实际完成值=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，完成率=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时效指标：在规定时限内拨付补助资金的地区比例目标值=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，实际完成值=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，完成率=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时效指标：基础养老金发放到位率目标值=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，实际完成值=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，完成率=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时效指标：基本养老金发放及时率目标值=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，实际完成值=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，完成率=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成本指标：城乡居民养老金发放总成本目标值小于等于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6968万元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，实际完成值=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6965万元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，完成率=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99.96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经济效益指标：提高城乡居民收入水平目标值=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，实际完成值=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，完成率=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社会效益指标：建立覆盖全民、更加公平的社会保障制度目标持续推动，实际完成值持续推动，完成率=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社会效益指标：对实现社会稳定和长治久安总目标的作用目标值持续推动，实际完成值持续推动，完成率=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可持续影响指标：对城乡居民基本养老保险制度可持续发展目标值有效推动，实际完成值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有效推动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，完成率=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满意度指标：政策知晓率目标值大于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95%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，实际完成值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96%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，完成率=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满意度指标：群众满意度目标值大于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95%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，实际完成值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97%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，完成率=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86" w:firstLineChars="200"/>
        <w:textAlignment w:val="auto"/>
        <w:outlineLvl w:val="9"/>
        <w:rPr>
          <w:rStyle w:val="21"/>
          <w:rFonts w:hint="eastAsia" w:ascii="黑体" w:hAnsi="黑体" w:eastAsia="黑体" w:cs="黑体"/>
          <w:bCs w:val="0"/>
          <w:spacing w:val="-4"/>
          <w:sz w:val="30"/>
          <w:szCs w:val="30"/>
        </w:rPr>
      </w:pPr>
      <w:r>
        <w:rPr>
          <w:rStyle w:val="21"/>
          <w:rFonts w:hint="eastAsia" w:ascii="黑体" w:hAnsi="黑体" w:eastAsia="黑体" w:cs="黑体"/>
          <w:bCs w:val="0"/>
          <w:spacing w:val="-4"/>
          <w:sz w:val="30"/>
          <w:szCs w:val="30"/>
        </w:rPr>
        <w:t>四、其他需要说明的问题</w:t>
      </w:r>
    </w:p>
    <w:p>
      <w:pPr>
        <w:spacing w:line="560" w:lineRule="exact"/>
        <w:ind w:firstLine="567"/>
        <w:outlineLvl w:val="1"/>
        <w:rPr>
          <w:rStyle w:val="21"/>
          <w:rFonts w:hint="eastAsia" w:ascii="仿宋_GB2312" w:hAnsi="仿宋_GB2312" w:eastAsia="仿宋_GB2312" w:cs="仿宋_GB2312"/>
          <w:b/>
          <w:bCs w:val="0"/>
          <w:i w:val="0"/>
          <w:iCs w:val="0"/>
          <w:spacing w:val="-4"/>
          <w:sz w:val="30"/>
          <w:szCs w:val="30"/>
        </w:rPr>
      </w:pPr>
      <w:r>
        <w:rPr>
          <w:rStyle w:val="21"/>
          <w:rFonts w:hint="eastAsia" w:ascii="仿宋_GB2312" w:hAnsi="仿宋_GB2312" w:eastAsia="仿宋_GB2312" w:cs="仿宋_GB2312"/>
          <w:b/>
          <w:bCs w:val="0"/>
          <w:i w:val="0"/>
          <w:iCs w:val="0"/>
          <w:spacing w:val="-4"/>
          <w:sz w:val="30"/>
          <w:szCs w:val="30"/>
        </w:rPr>
        <w:t>（一）后续工作计划</w:t>
      </w:r>
    </w:p>
    <w:p>
      <w:pPr>
        <w:spacing w:line="560" w:lineRule="exact"/>
        <w:ind w:firstLine="567"/>
        <w:outlineLvl w:val="1"/>
        <w:rPr>
          <w:rStyle w:val="21"/>
          <w:rFonts w:hint="eastAsia" w:ascii="仿宋_GB2312" w:hAnsi="仿宋_GB2312" w:eastAsia="仿宋_GB2312" w:cs="仿宋_GB2312"/>
          <w:b w:val="0"/>
          <w:bCs/>
          <w:i w:val="0"/>
          <w:iCs w:val="0"/>
          <w:spacing w:val="-4"/>
          <w:sz w:val="30"/>
          <w:szCs w:val="30"/>
          <w:lang w:val="en-US" w:eastAsia="zh-CN"/>
        </w:rPr>
      </w:pPr>
      <w:r>
        <w:rPr>
          <w:rStyle w:val="21"/>
          <w:rFonts w:hint="eastAsia" w:ascii="仿宋_GB2312" w:hAnsi="仿宋_GB2312" w:eastAsia="仿宋_GB2312" w:cs="仿宋_GB2312"/>
          <w:b w:val="0"/>
          <w:bCs/>
          <w:i w:val="0"/>
          <w:iCs w:val="0"/>
          <w:spacing w:val="-4"/>
          <w:sz w:val="30"/>
          <w:szCs w:val="30"/>
          <w:lang w:val="en-US" w:eastAsia="zh-CN"/>
        </w:rPr>
        <w:t xml:space="preserve"> 1、加强养老保险政策的宣传、培训工作。</w:t>
      </w:r>
    </w:p>
    <w:p>
      <w:pPr>
        <w:rPr>
          <w:rStyle w:val="21"/>
          <w:rFonts w:hint="eastAsia" w:ascii="仿宋_GB2312" w:hAnsi="仿宋_GB2312" w:eastAsia="仿宋_GB2312" w:cs="仿宋_GB2312"/>
          <w:b w:val="0"/>
          <w:bCs/>
          <w:i w:val="0"/>
          <w:iCs w:val="0"/>
          <w:spacing w:val="-4"/>
          <w:sz w:val="30"/>
          <w:szCs w:val="30"/>
          <w:lang w:val="en-US" w:eastAsia="zh-CN"/>
        </w:rPr>
      </w:pPr>
      <w:r>
        <w:rPr>
          <w:rStyle w:val="21"/>
          <w:rFonts w:hint="eastAsia" w:ascii="仿宋_GB2312" w:hAnsi="仿宋_GB2312" w:eastAsia="仿宋_GB2312" w:cs="仿宋_GB2312"/>
          <w:b w:val="0"/>
          <w:bCs/>
          <w:i w:val="0"/>
          <w:iCs w:val="0"/>
          <w:spacing w:val="-4"/>
          <w:sz w:val="30"/>
          <w:szCs w:val="30"/>
          <w:lang w:val="en-US" w:eastAsia="zh-CN"/>
        </w:rPr>
        <w:t xml:space="preserve">     2、进一步加大对领取待遇数据的对比和核查工作，确保基金运行安全。</w:t>
      </w:r>
    </w:p>
    <w:p>
      <w:pPr>
        <w:ind w:firstLine="586" w:firstLineChars="200"/>
        <w:rPr>
          <w:rStyle w:val="21"/>
          <w:rFonts w:hint="eastAsia" w:ascii="仿宋_GB2312" w:hAnsi="仿宋_GB2312" w:eastAsia="仿宋_GB2312" w:cs="仿宋_GB2312"/>
          <w:b/>
          <w:bCs w:val="0"/>
          <w:i w:val="0"/>
          <w:iCs w:val="0"/>
          <w:spacing w:val="-4"/>
          <w:sz w:val="30"/>
          <w:szCs w:val="30"/>
        </w:rPr>
      </w:pPr>
      <w:r>
        <w:rPr>
          <w:rStyle w:val="21"/>
          <w:rFonts w:hint="eastAsia" w:ascii="仿宋_GB2312" w:hAnsi="仿宋_GB2312" w:eastAsia="仿宋_GB2312" w:cs="仿宋_GB2312"/>
          <w:b/>
          <w:bCs w:val="0"/>
          <w:i w:val="0"/>
          <w:iCs w:val="0"/>
          <w:spacing w:val="-4"/>
          <w:sz w:val="30"/>
          <w:szCs w:val="30"/>
          <w:lang w:val="en-US" w:eastAsia="zh-CN"/>
        </w:rPr>
        <w:t>（二）</w:t>
      </w:r>
      <w:r>
        <w:rPr>
          <w:rStyle w:val="21"/>
          <w:rFonts w:hint="eastAsia" w:ascii="仿宋_GB2312" w:hAnsi="仿宋_GB2312" w:eastAsia="仿宋_GB2312" w:cs="仿宋_GB2312"/>
          <w:b/>
          <w:bCs w:val="0"/>
          <w:i w:val="0"/>
          <w:iCs w:val="0"/>
          <w:spacing w:val="-4"/>
          <w:sz w:val="30"/>
          <w:szCs w:val="30"/>
        </w:rPr>
        <w:t>主要经验及做法</w:t>
      </w:r>
    </w:p>
    <w:p>
      <w:pPr>
        <w:spacing w:line="580" w:lineRule="exact"/>
        <w:ind w:firstLine="900" w:firstLineChars="3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伊州区以基金安全运行为根本，以提高管理服务水平为重点，严格执行社会保险各项政策，建立健全内部控制制度，确保待遇发放，基金运行总体平稳。</w:t>
      </w:r>
    </w:p>
    <w:p>
      <w:pPr>
        <w:pStyle w:val="17"/>
        <w:widowControl/>
        <w:spacing w:beforeAutospacing="0" w:afterAutospacing="0" w:line="560" w:lineRule="exact"/>
        <w:ind w:firstLine="900" w:firstLineChars="300"/>
        <w:rPr>
          <w:rFonts w:hint="eastAsia" w:ascii="仿宋_GB2312" w:hAnsi="仿宋_GB2312" w:eastAsia="仿宋_GB2312" w:cs="仿宋_GB2312"/>
          <w:kern w:val="2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</w:rPr>
        <w:t>伊州区社保经办机构按照“流程覆盖、环节把控、职责明确”的工作思路，把内控制度体系建设作为根本，实现了经办和管理工作规范、有效运行，保障了基金安全。一是健全综合内控制度。从组织机构、业务运行、基金财务、信息系统、内部控制等方面，制定内控制度、业务流程、岗位职责等，参保人员均按规定办理参保登记、个人账户信息修改、缴费等业务，严格执行统一的会计制度和收支业务审批制度，社保基金按规定对基金分别建账、分账核算，基金收入户、支出户和财政专户按规定开设账户，严格实行收支两条线管理，全面实行全程电子化，杜绝隐匿、转移、侵占、挪用基金的现象，确保基金专款专用。二是建立考核考评制度。及时调整完善内控考核办法，按规定设置岗位，增强社保经办机构干部队伍力量，加强管理，严格遵守不相容职务相互分离的原则，业务审核岗位和审批岗位分离、审批岗位与计发待遇岗位分离、审批岗位与数据录入岗位分离、会计岗位与出纳岗位分离;无违反业务规程、信息系统操作流程规定以及岗位职责、审批权限，办理社会保险业务、修改社会保险信息的现象;财务与业务按月对账，按规定与基金开户银行、财政部门和上下级经办机构等核对基金的收付情况;严格执行基金支付政策，按月编制基金支付计划，按月足额发放待遇，做到不拖欠、不挪用、不挤占社保基金。</w:t>
      </w:r>
    </w:p>
    <w:p>
      <w:pPr>
        <w:pStyle w:val="17"/>
        <w:widowControl/>
        <w:spacing w:beforeAutospacing="0" w:afterAutospacing="0" w:line="560" w:lineRule="exact"/>
        <w:ind w:firstLine="602" w:firstLineChars="200"/>
        <w:rPr>
          <w:rFonts w:hint="eastAsia" w:ascii="仿宋_GB2312" w:hAnsi="仿宋_GB2312" w:eastAsia="仿宋_GB2312" w:cs="仿宋_GB2312"/>
          <w:b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30"/>
          <w:szCs w:val="30"/>
          <w:lang w:val="en-US" w:eastAsia="zh-CN"/>
        </w:rPr>
        <w:t>（三）下一步工作</w:t>
      </w:r>
    </w:p>
    <w:p>
      <w:pPr>
        <w:numPr>
          <w:ilvl w:val="0"/>
          <w:numId w:val="0"/>
        </w:numPr>
        <w:spacing w:line="560" w:lineRule="exact"/>
        <w:ind w:firstLine="600" w:firstLineChars="200"/>
        <w:rPr>
          <w:rFonts w:hint="eastAsia" w:ascii="仿宋_GB2312" w:hAnsi="仿宋_GB2312" w:eastAsia="仿宋_GB2312" w:cs="仿宋_GB2312"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sz w:val="30"/>
          <w:szCs w:val="30"/>
        </w:rPr>
        <w:t>下一步要进一步抓好</w:t>
      </w: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全力推进“全民参保计划”，积极采取措施、创新机制，扩大社会保险覆盖面，强化基金征缴，做到应收尽收，不漏死角。同时做好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内部控制风险防控工作，加大对经办工作的监督检查，纠正和堵塞经办环节的漏洞和薄弱点，规范经办机构合理运行，确保基金安全。</w:t>
      </w:r>
    </w:p>
    <w:p>
      <w:pPr>
        <w:spacing w:line="560" w:lineRule="exact"/>
        <w:ind w:firstLine="640"/>
        <w:outlineLvl w:val="0"/>
        <w:rPr>
          <w:rStyle w:val="21"/>
          <w:rFonts w:hint="eastAsia" w:ascii="黑体" w:hAnsi="黑体" w:eastAsia="黑体" w:cs="黑体"/>
          <w:bCs w:val="0"/>
          <w:spacing w:val="-4"/>
          <w:sz w:val="30"/>
          <w:szCs w:val="30"/>
        </w:rPr>
      </w:pPr>
      <w:r>
        <w:rPr>
          <w:rStyle w:val="21"/>
          <w:rFonts w:hint="eastAsia" w:ascii="黑体" w:hAnsi="黑体" w:eastAsia="黑体" w:cs="黑体"/>
          <w:bCs w:val="0"/>
          <w:spacing w:val="-4"/>
          <w:sz w:val="30"/>
          <w:szCs w:val="30"/>
        </w:rPr>
        <w:t>五、附表</w:t>
      </w:r>
    </w:p>
    <w:p>
      <w:pPr>
        <w:spacing w:line="560" w:lineRule="exact"/>
        <w:ind w:firstLine="567"/>
        <w:rPr>
          <w:rFonts w:ascii="Times New Roman" w:hAnsi="Times New Roman" w:eastAsia="仿宋_GB2312" w:cs="仿宋_GB2312"/>
          <w:bCs/>
          <w:spacing w:val="-4"/>
          <w:sz w:val="30"/>
          <w:szCs w:val="30"/>
        </w:rPr>
      </w:pPr>
      <w:r>
        <w:rPr>
          <w:rFonts w:hint="eastAsia" w:ascii="Times New Roman" w:hAnsi="Times New Roman" w:eastAsia="仿宋_GB2312" w:cs="仿宋_GB2312"/>
          <w:bCs/>
          <w:spacing w:val="-4"/>
          <w:sz w:val="30"/>
          <w:szCs w:val="30"/>
        </w:rPr>
        <w:t>伊州区社会保险支出绩效自评表</w:t>
      </w:r>
    </w:p>
    <w:sectPr>
      <w:headerReference r:id="rId3" w:type="default"/>
      <w:footerReference r:id="rId4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kMjQwMDI3NGNhNDM3ZmU1MzZmZTU4YWU5MGQ1ZTUifQ=="/>
  </w:docVars>
  <w:rsids>
    <w:rsidRoot w:val="00CA6457"/>
    <w:rsid w:val="00000F67"/>
    <w:rsid w:val="000261D5"/>
    <w:rsid w:val="00040EEA"/>
    <w:rsid w:val="00056465"/>
    <w:rsid w:val="00063735"/>
    <w:rsid w:val="000645A5"/>
    <w:rsid w:val="00071957"/>
    <w:rsid w:val="00087F98"/>
    <w:rsid w:val="000A06CD"/>
    <w:rsid w:val="000A22F5"/>
    <w:rsid w:val="000B43C8"/>
    <w:rsid w:val="000B7F00"/>
    <w:rsid w:val="000C0E99"/>
    <w:rsid w:val="000D67D5"/>
    <w:rsid w:val="000E37FB"/>
    <w:rsid w:val="000F7519"/>
    <w:rsid w:val="00114FAD"/>
    <w:rsid w:val="001178A5"/>
    <w:rsid w:val="00121AE4"/>
    <w:rsid w:val="00136A28"/>
    <w:rsid w:val="00146AAD"/>
    <w:rsid w:val="0014713B"/>
    <w:rsid w:val="001841AA"/>
    <w:rsid w:val="001B26C3"/>
    <w:rsid w:val="001B3A40"/>
    <w:rsid w:val="001B6CEB"/>
    <w:rsid w:val="001D1A1A"/>
    <w:rsid w:val="001E7CCA"/>
    <w:rsid w:val="00204085"/>
    <w:rsid w:val="002074F8"/>
    <w:rsid w:val="00224FD6"/>
    <w:rsid w:val="002278A1"/>
    <w:rsid w:val="00243AA3"/>
    <w:rsid w:val="00244B6D"/>
    <w:rsid w:val="00244E2F"/>
    <w:rsid w:val="002677D2"/>
    <w:rsid w:val="0027655E"/>
    <w:rsid w:val="00285314"/>
    <w:rsid w:val="002A5E30"/>
    <w:rsid w:val="002B061D"/>
    <w:rsid w:val="002B0AE0"/>
    <w:rsid w:val="002B4061"/>
    <w:rsid w:val="002B5A6F"/>
    <w:rsid w:val="002C4738"/>
    <w:rsid w:val="002E03F7"/>
    <w:rsid w:val="002E5455"/>
    <w:rsid w:val="002F5841"/>
    <w:rsid w:val="003005B4"/>
    <w:rsid w:val="003108EA"/>
    <w:rsid w:val="00325819"/>
    <w:rsid w:val="003520C8"/>
    <w:rsid w:val="00352B6A"/>
    <w:rsid w:val="003613E0"/>
    <w:rsid w:val="003847CE"/>
    <w:rsid w:val="00392327"/>
    <w:rsid w:val="003B020D"/>
    <w:rsid w:val="003D4349"/>
    <w:rsid w:val="003E24B7"/>
    <w:rsid w:val="004176E7"/>
    <w:rsid w:val="004366A8"/>
    <w:rsid w:val="00442ACF"/>
    <w:rsid w:val="004450D4"/>
    <w:rsid w:val="00491164"/>
    <w:rsid w:val="004973F4"/>
    <w:rsid w:val="004C5939"/>
    <w:rsid w:val="004C6560"/>
    <w:rsid w:val="004E438A"/>
    <w:rsid w:val="00502BA7"/>
    <w:rsid w:val="00512830"/>
    <w:rsid w:val="0051288D"/>
    <w:rsid w:val="0051289F"/>
    <w:rsid w:val="00513288"/>
    <w:rsid w:val="005162F1"/>
    <w:rsid w:val="0052712E"/>
    <w:rsid w:val="00535153"/>
    <w:rsid w:val="00536224"/>
    <w:rsid w:val="00546C0E"/>
    <w:rsid w:val="00554F82"/>
    <w:rsid w:val="00561944"/>
    <w:rsid w:val="0056390D"/>
    <w:rsid w:val="005719B0"/>
    <w:rsid w:val="00571D40"/>
    <w:rsid w:val="00573BAB"/>
    <w:rsid w:val="00573FC1"/>
    <w:rsid w:val="0058670C"/>
    <w:rsid w:val="005914D7"/>
    <w:rsid w:val="005A5FE5"/>
    <w:rsid w:val="005C5086"/>
    <w:rsid w:val="005C7744"/>
    <w:rsid w:val="005D10D6"/>
    <w:rsid w:val="005D36AD"/>
    <w:rsid w:val="00603323"/>
    <w:rsid w:val="0060420A"/>
    <w:rsid w:val="006307EE"/>
    <w:rsid w:val="006341D9"/>
    <w:rsid w:val="00634257"/>
    <w:rsid w:val="006371DD"/>
    <w:rsid w:val="0066424F"/>
    <w:rsid w:val="00667D6A"/>
    <w:rsid w:val="00676453"/>
    <w:rsid w:val="006876B4"/>
    <w:rsid w:val="00696133"/>
    <w:rsid w:val="0069798A"/>
    <w:rsid w:val="006B3D28"/>
    <w:rsid w:val="006C750B"/>
    <w:rsid w:val="006E0001"/>
    <w:rsid w:val="006E54DE"/>
    <w:rsid w:val="006F1484"/>
    <w:rsid w:val="006F15C1"/>
    <w:rsid w:val="00722B23"/>
    <w:rsid w:val="00741077"/>
    <w:rsid w:val="007443A2"/>
    <w:rsid w:val="00751156"/>
    <w:rsid w:val="00770410"/>
    <w:rsid w:val="00771FB7"/>
    <w:rsid w:val="00774FC7"/>
    <w:rsid w:val="00776E8F"/>
    <w:rsid w:val="00790791"/>
    <w:rsid w:val="007B07C3"/>
    <w:rsid w:val="007C2CF1"/>
    <w:rsid w:val="00855E3A"/>
    <w:rsid w:val="00880CD3"/>
    <w:rsid w:val="008909CB"/>
    <w:rsid w:val="00892FAA"/>
    <w:rsid w:val="00894F8C"/>
    <w:rsid w:val="008962BB"/>
    <w:rsid w:val="008C22B5"/>
    <w:rsid w:val="008F7306"/>
    <w:rsid w:val="009011A2"/>
    <w:rsid w:val="00922CB9"/>
    <w:rsid w:val="00923BD3"/>
    <w:rsid w:val="0093708C"/>
    <w:rsid w:val="00962F90"/>
    <w:rsid w:val="00984881"/>
    <w:rsid w:val="00985144"/>
    <w:rsid w:val="009B5D7E"/>
    <w:rsid w:val="009B71B2"/>
    <w:rsid w:val="009C2524"/>
    <w:rsid w:val="009D2437"/>
    <w:rsid w:val="009D646A"/>
    <w:rsid w:val="009D7153"/>
    <w:rsid w:val="009E5CD9"/>
    <w:rsid w:val="009F4E7D"/>
    <w:rsid w:val="00A1349E"/>
    <w:rsid w:val="00A20543"/>
    <w:rsid w:val="00A24D89"/>
    <w:rsid w:val="00A26421"/>
    <w:rsid w:val="00A267AD"/>
    <w:rsid w:val="00A3254B"/>
    <w:rsid w:val="00A40939"/>
    <w:rsid w:val="00A4293B"/>
    <w:rsid w:val="00A443C8"/>
    <w:rsid w:val="00A67D50"/>
    <w:rsid w:val="00A8691A"/>
    <w:rsid w:val="00A90A5F"/>
    <w:rsid w:val="00AA5A81"/>
    <w:rsid w:val="00AC1946"/>
    <w:rsid w:val="00AD17D6"/>
    <w:rsid w:val="00B11CF4"/>
    <w:rsid w:val="00B40063"/>
    <w:rsid w:val="00B41F61"/>
    <w:rsid w:val="00B54C73"/>
    <w:rsid w:val="00B60E91"/>
    <w:rsid w:val="00B61A67"/>
    <w:rsid w:val="00B676E3"/>
    <w:rsid w:val="00B74E54"/>
    <w:rsid w:val="00B86D75"/>
    <w:rsid w:val="00BA46E6"/>
    <w:rsid w:val="00BB200C"/>
    <w:rsid w:val="00BC5DAB"/>
    <w:rsid w:val="00BD10B7"/>
    <w:rsid w:val="00C00E89"/>
    <w:rsid w:val="00C0269D"/>
    <w:rsid w:val="00C219CC"/>
    <w:rsid w:val="00C22591"/>
    <w:rsid w:val="00C41B61"/>
    <w:rsid w:val="00C42ACF"/>
    <w:rsid w:val="00C52BFC"/>
    <w:rsid w:val="00C56C72"/>
    <w:rsid w:val="00C6009D"/>
    <w:rsid w:val="00C636FE"/>
    <w:rsid w:val="00C70524"/>
    <w:rsid w:val="00C739C8"/>
    <w:rsid w:val="00CA6457"/>
    <w:rsid w:val="00CB264E"/>
    <w:rsid w:val="00CE6C12"/>
    <w:rsid w:val="00CF4423"/>
    <w:rsid w:val="00CF58BA"/>
    <w:rsid w:val="00CF6A5D"/>
    <w:rsid w:val="00D036FC"/>
    <w:rsid w:val="00D0427F"/>
    <w:rsid w:val="00D1210C"/>
    <w:rsid w:val="00D12F18"/>
    <w:rsid w:val="00D17F2E"/>
    <w:rsid w:val="00D25887"/>
    <w:rsid w:val="00D30354"/>
    <w:rsid w:val="00D53519"/>
    <w:rsid w:val="00D5368A"/>
    <w:rsid w:val="00D6316A"/>
    <w:rsid w:val="00D6751F"/>
    <w:rsid w:val="00D77998"/>
    <w:rsid w:val="00D83AF4"/>
    <w:rsid w:val="00DA2D0D"/>
    <w:rsid w:val="00DC262D"/>
    <w:rsid w:val="00DE261B"/>
    <w:rsid w:val="00DF0A5A"/>
    <w:rsid w:val="00DF42A0"/>
    <w:rsid w:val="00DF5A4D"/>
    <w:rsid w:val="00E17035"/>
    <w:rsid w:val="00E24B2E"/>
    <w:rsid w:val="00E25910"/>
    <w:rsid w:val="00E33F85"/>
    <w:rsid w:val="00E355F1"/>
    <w:rsid w:val="00E47292"/>
    <w:rsid w:val="00E5099F"/>
    <w:rsid w:val="00E64472"/>
    <w:rsid w:val="00E769FE"/>
    <w:rsid w:val="00EA21E0"/>
    <w:rsid w:val="00EA2CBE"/>
    <w:rsid w:val="00EA73F5"/>
    <w:rsid w:val="00ED0AAE"/>
    <w:rsid w:val="00ED78C3"/>
    <w:rsid w:val="00EE6C39"/>
    <w:rsid w:val="00EF7F20"/>
    <w:rsid w:val="00F02135"/>
    <w:rsid w:val="00F022A5"/>
    <w:rsid w:val="00F1262C"/>
    <w:rsid w:val="00F32FEE"/>
    <w:rsid w:val="00F46268"/>
    <w:rsid w:val="00F718FE"/>
    <w:rsid w:val="00F7692E"/>
    <w:rsid w:val="00F771A2"/>
    <w:rsid w:val="00F854AE"/>
    <w:rsid w:val="00F917DB"/>
    <w:rsid w:val="00F92D51"/>
    <w:rsid w:val="00FA1AC8"/>
    <w:rsid w:val="00FA5C53"/>
    <w:rsid w:val="00FA72C1"/>
    <w:rsid w:val="00FB0312"/>
    <w:rsid w:val="00FB10BB"/>
    <w:rsid w:val="00FC0DCF"/>
    <w:rsid w:val="00FC0F99"/>
    <w:rsid w:val="00FE0759"/>
    <w:rsid w:val="00FE0D47"/>
    <w:rsid w:val="00FF6668"/>
    <w:rsid w:val="010A644D"/>
    <w:rsid w:val="01116FEC"/>
    <w:rsid w:val="016C059F"/>
    <w:rsid w:val="04256AAF"/>
    <w:rsid w:val="04B87082"/>
    <w:rsid w:val="04EB4934"/>
    <w:rsid w:val="05864110"/>
    <w:rsid w:val="05CE497B"/>
    <w:rsid w:val="06D279E7"/>
    <w:rsid w:val="06E3291A"/>
    <w:rsid w:val="079A3BAA"/>
    <w:rsid w:val="09A50626"/>
    <w:rsid w:val="09B32C6E"/>
    <w:rsid w:val="0A0F1FA5"/>
    <w:rsid w:val="0A2410E8"/>
    <w:rsid w:val="0B095C8A"/>
    <w:rsid w:val="0BBC259C"/>
    <w:rsid w:val="0BBC293C"/>
    <w:rsid w:val="0BF66682"/>
    <w:rsid w:val="0D17588D"/>
    <w:rsid w:val="0D1D019E"/>
    <w:rsid w:val="0D713797"/>
    <w:rsid w:val="0EE87E2E"/>
    <w:rsid w:val="0F5F4A21"/>
    <w:rsid w:val="10220D9A"/>
    <w:rsid w:val="1050168A"/>
    <w:rsid w:val="10623E2E"/>
    <w:rsid w:val="128337DE"/>
    <w:rsid w:val="128E1BA5"/>
    <w:rsid w:val="13947BA7"/>
    <w:rsid w:val="14537700"/>
    <w:rsid w:val="147A0008"/>
    <w:rsid w:val="14FF07AD"/>
    <w:rsid w:val="166879CC"/>
    <w:rsid w:val="17513600"/>
    <w:rsid w:val="17B33F3E"/>
    <w:rsid w:val="17C64D21"/>
    <w:rsid w:val="18F56866"/>
    <w:rsid w:val="1B3A6698"/>
    <w:rsid w:val="1B5B769F"/>
    <w:rsid w:val="1B6103D6"/>
    <w:rsid w:val="1BA40D39"/>
    <w:rsid w:val="1BC16ECC"/>
    <w:rsid w:val="1BD37A81"/>
    <w:rsid w:val="1C684689"/>
    <w:rsid w:val="1C835C64"/>
    <w:rsid w:val="1CE74A12"/>
    <w:rsid w:val="1D341B44"/>
    <w:rsid w:val="1E3B1FCF"/>
    <w:rsid w:val="1FE2626A"/>
    <w:rsid w:val="1FF1797B"/>
    <w:rsid w:val="20317511"/>
    <w:rsid w:val="22696842"/>
    <w:rsid w:val="22B31EFD"/>
    <w:rsid w:val="23604207"/>
    <w:rsid w:val="251B1850"/>
    <w:rsid w:val="254248A9"/>
    <w:rsid w:val="26577F9A"/>
    <w:rsid w:val="27586119"/>
    <w:rsid w:val="27FD5A9D"/>
    <w:rsid w:val="28B97959"/>
    <w:rsid w:val="29232280"/>
    <w:rsid w:val="29FB2C27"/>
    <w:rsid w:val="2A064F2E"/>
    <w:rsid w:val="2AC85157"/>
    <w:rsid w:val="2AE45F76"/>
    <w:rsid w:val="2AF83936"/>
    <w:rsid w:val="2B541B3D"/>
    <w:rsid w:val="2BB1772B"/>
    <w:rsid w:val="2CC32613"/>
    <w:rsid w:val="2CCE0377"/>
    <w:rsid w:val="2DCC62C6"/>
    <w:rsid w:val="2E7A28B9"/>
    <w:rsid w:val="2EFC2E4D"/>
    <w:rsid w:val="2EFF2FEB"/>
    <w:rsid w:val="2F89127E"/>
    <w:rsid w:val="300D5797"/>
    <w:rsid w:val="30BE0F9C"/>
    <w:rsid w:val="30EE20E9"/>
    <w:rsid w:val="30F06FA0"/>
    <w:rsid w:val="31F23AFE"/>
    <w:rsid w:val="32826EB1"/>
    <w:rsid w:val="32D677AA"/>
    <w:rsid w:val="334A0149"/>
    <w:rsid w:val="33E863C8"/>
    <w:rsid w:val="3427542F"/>
    <w:rsid w:val="34D2502D"/>
    <w:rsid w:val="350260DB"/>
    <w:rsid w:val="356A7949"/>
    <w:rsid w:val="362F6333"/>
    <w:rsid w:val="37242120"/>
    <w:rsid w:val="37413820"/>
    <w:rsid w:val="37483B89"/>
    <w:rsid w:val="37C45358"/>
    <w:rsid w:val="38140802"/>
    <w:rsid w:val="38292054"/>
    <w:rsid w:val="383B2831"/>
    <w:rsid w:val="38520309"/>
    <w:rsid w:val="385C5BAE"/>
    <w:rsid w:val="397216E1"/>
    <w:rsid w:val="39B21FEC"/>
    <w:rsid w:val="39BA599C"/>
    <w:rsid w:val="3BAC730C"/>
    <w:rsid w:val="3BB70555"/>
    <w:rsid w:val="3BC7304C"/>
    <w:rsid w:val="3C9E67C2"/>
    <w:rsid w:val="3D5C769B"/>
    <w:rsid w:val="3EC55271"/>
    <w:rsid w:val="3F3636C5"/>
    <w:rsid w:val="3F3C76FB"/>
    <w:rsid w:val="3F8B374B"/>
    <w:rsid w:val="41045935"/>
    <w:rsid w:val="41E73751"/>
    <w:rsid w:val="41F46496"/>
    <w:rsid w:val="423F533B"/>
    <w:rsid w:val="42610A2B"/>
    <w:rsid w:val="42CA188E"/>
    <w:rsid w:val="42D41BC6"/>
    <w:rsid w:val="42D86F55"/>
    <w:rsid w:val="438E39E3"/>
    <w:rsid w:val="43C42E62"/>
    <w:rsid w:val="4445396E"/>
    <w:rsid w:val="449354A8"/>
    <w:rsid w:val="449C451D"/>
    <w:rsid w:val="44D63080"/>
    <w:rsid w:val="47FB44A6"/>
    <w:rsid w:val="481F7325"/>
    <w:rsid w:val="48BE1AF6"/>
    <w:rsid w:val="48E85AB1"/>
    <w:rsid w:val="48F57DD3"/>
    <w:rsid w:val="492917CA"/>
    <w:rsid w:val="493C4623"/>
    <w:rsid w:val="497D0313"/>
    <w:rsid w:val="4BBB33A7"/>
    <w:rsid w:val="4BC036C9"/>
    <w:rsid w:val="4BDB7DA7"/>
    <w:rsid w:val="4BFF3D87"/>
    <w:rsid w:val="4C3430ED"/>
    <w:rsid w:val="4C554DFE"/>
    <w:rsid w:val="4C5F7F78"/>
    <w:rsid w:val="4CE93602"/>
    <w:rsid w:val="4D1A085F"/>
    <w:rsid w:val="4DC54F18"/>
    <w:rsid w:val="4DD37447"/>
    <w:rsid w:val="4E250419"/>
    <w:rsid w:val="4EC8543F"/>
    <w:rsid w:val="4FAE5016"/>
    <w:rsid w:val="50084F44"/>
    <w:rsid w:val="505B080A"/>
    <w:rsid w:val="50DA142A"/>
    <w:rsid w:val="520A39E1"/>
    <w:rsid w:val="52307D41"/>
    <w:rsid w:val="526C2766"/>
    <w:rsid w:val="52CE74F4"/>
    <w:rsid w:val="53005138"/>
    <w:rsid w:val="533A0AE1"/>
    <w:rsid w:val="538F4E51"/>
    <w:rsid w:val="5447318A"/>
    <w:rsid w:val="56071004"/>
    <w:rsid w:val="566E44FB"/>
    <w:rsid w:val="57435475"/>
    <w:rsid w:val="575627E2"/>
    <w:rsid w:val="57943F20"/>
    <w:rsid w:val="58774BA2"/>
    <w:rsid w:val="587A5F03"/>
    <w:rsid w:val="58D04AE7"/>
    <w:rsid w:val="58D04DFA"/>
    <w:rsid w:val="58D75736"/>
    <w:rsid w:val="59B0502A"/>
    <w:rsid w:val="5A117FE5"/>
    <w:rsid w:val="5A915203"/>
    <w:rsid w:val="5ADD5495"/>
    <w:rsid w:val="5AFD1C49"/>
    <w:rsid w:val="5B3363D9"/>
    <w:rsid w:val="5B4F4C08"/>
    <w:rsid w:val="5BD37F56"/>
    <w:rsid w:val="5C296CED"/>
    <w:rsid w:val="5C4806EE"/>
    <w:rsid w:val="5CB06692"/>
    <w:rsid w:val="5CCE72B3"/>
    <w:rsid w:val="5D57207E"/>
    <w:rsid w:val="5D5C4B9B"/>
    <w:rsid w:val="5E053DB3"/>
    <w:rsid w:val="5EAC6A0C"/>
    <w:rsid w:val="5F055DF6"/>
    <w:rsid w:val="5F3D685E"/>
    <w:rsid w:val="5FB86E3E"/>
    <w:rsid w:val="608C353B"/>
    <w:rsid w:val="614115C4"/>
    <w:rsid w:val="61E443A4"/>
    <w:rsid w:val="626F1E5D"/>
    <w:rsid w:val="6325714F"/>
    <w:rsid w:val="63F35DC6"/>
    <w:rsid w:val="65684643"/>
    <w:rsid w:val="65C07533"/>
    <w:rsid w:val="66437D33"/>
    <w:rsid w:val="67992BA3"/>
    <w:rsid w:val="67B52648"/>
    <w:rsid w:val="67D839B8"/>
    <w:rsid w:val="684B0830"/>
    <w:rsid w:val="69B91819"/>
    <w:rsid w:val="6A136F29"/>
    <w:rsid w:val="6AEB4190"/>
    <w:rsid w:val="6AFB0542"/>
    <w:rsid w:val="6B850B1D"/>
    <w:rsid w:val="6B9E32F6"/>
    <w:rsid w:val="6C0A0ACE"/>
    <w:rsid w:val="6D747692"/>
    <w:rsid w:val="6DA53C20"/>
    <w:rsid w:val="6DCA26AA"/>
    <w:rsid w:val="6E7F26E0"/>
    <w:rsid w:val="6EEC3845"/>
    <w:rsid w:val="6F247D01"/>
    <w:rsid w:val="6F6A400F"/>
    <w:rsid w:val="6FFC2A0A"/>
    <w:rsid w:val="7051446A"/>
    <w:rsid w:val="70B07B00"/>
    <w:rsid w:val="713D17C3"/>
    <w:rsid w:val="75AE4E59"/>
    <w:rsid w:val="76243622"/>
    <w:rsid w:val="763A1458"/>
    <w:rsid w:val="772D6E74"/>
    <w:rsid w:val="77716415"/>
    <w:rsid w:val="78797AC1"/>
    <w:rsid w:val="788E5CDA"/>
    <w:rsid w:val="7A8E6E14"/>
    <w:rsid w:val="7ADF6FB0"/>
    <w:rsid w:val="7B270171"/>
    <w:rsid w:val="7B2C12F4"/>
    <w:rsid w:val="7BD922E9"/>
    <w:rsid w:val="7BDE0F75"/>
    <w:rsid w:val="7C6032C7"/>
    <w:rsid w:val="7C6A1591"/>
    <w:rsid w:val="7CAE183D"/>
    <w:rsid w:val="7CE355C7"/>
    <w:rsid w:val="7D980D38"/>
    <w:rsid w:val="7E670D9A"/>
    <w:rsid w:val="7ED76AA1"/>
    <w:rsid w:val="7F4B0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qFormat="1"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99" w:semiHidden="0" w:name="Title"/>
    <w:lsdException w:uiPriority="99" w:name="Closing" w:locked="1"/>
    <w:lsdException w:uiPriority="99" w:name="Signature" w:locked="1"/>
    <w:lsdException w:qFormat="1" w:uiPriority="1" w:name="Default Paragraph Font"/>
    <w:lsdException w:qFormat="1" w:unhideWhenUsed="0" w:uiPriority="99" w:semiHidden="0" w:name="Body Text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99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99" w:semiHidden="0" w:name="Strong"/>
    <w:lsdException w:qFormat="1" w:unhideWhenUsed="0" w:uiPriority="99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qFormat="1" w:unhideWhenUsed="0" w:uiPriority="99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unhideWhenUsed="0" w:uiPriority="0" w:semiHidden="0" w:name="Table Grid"/>
    <w:lsdException w:uiPriority="99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qFormat="1" w:unhideWhenUsed="0" w:uiPriority="99" w:semiHidden="0" w:name="Quote"/>
    <w:lsdException w:qFormat="1" w:unhideWhenUsed="0" w:uiPriority="99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3"/>
    <w:qFormat/>
    <w:uiPriority w:val="99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1"/>
    <w:next w:val="1"/>
    <w:link w:val="24"/>
    <w:qFormat/>
    <w:uiPriority w:val="99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5"/>
    <w:qFormat/>
    <w:uiPriority w:val="99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6"/>
    <w:qFormat/>
    <w:uiPriority w:val="99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7"/>
    <w:qFormat/>
    <w:uiPriority w:val="99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8"/>
    <w:qFormat/>
    <w:uiPriority w:val="99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9"/>
    <w:qFormat/>
    <w:uiPriority w:val="99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9">
    <w:name w:val="heading 8"/>
    <w:basedOn w:val="1"/>
    <w:next w:val="1"/>
    <w:link w:val="30"/>
    <w:qFormat/>
    <w:uiPriority w:val="99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10">
    <w:name w:val="heading 9"/>
    <w:basedOn w:val="1"/>
    <w:next w:val="1"/>
    <w:link w:val="31"/>
    <w:qFormat/>
    <w:uiPriority w:val="99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semiHidden/>
    <w:unhideWhenUsed/>
    <w:qFormat/>
    <w:locked/>
    <w:uiPriority w:val="99"/>
    <w:pPr>
      <w:jc w:val="left"/>
    </w:pPr>
  </w:style>
  <w:style w:type="paragraph" w:styleId="12">
    <w:name w:val="Body Text"/>
    <w:basedOn w:val="1"/>
    <w:link w:val="32"/>
    <w:qFormat/>
    <w:uiPriority w:val="99"/>
    <w:pPr>
      <w:jc w:val="center"/>
    </w:pPr>
    <w:rPr>
      <w:rFonts w:eastAsia="方正小标宋简体"/>
      <w:b/>
      <w:bCs/>
      <w:sz w:val="44"/>
    </w:rPr>
  </w:style>
  <w:style w:type="paragraph" w:styleId="13">
    <w:name w:val="Balloon Text"/>
    <w:basedOn w:val="1"/>
    <w:link w:val="33"/>
    <w:semiHidden/>
    <w:qFormat/>
    <w:uiPriority w:val="99"/>
    <w:rPr>
      <w:sz w:val="18"/>
      <w:szCs w:val="18"/>
    </w:rPr>
  </w:style>
  <w:style w:type="paragraph" w:styleId="14">
    <w:name w:val="footer"/>
    <w:basedOn w:val="1"/>
    <w:link w:val="34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5">
    <w:name w:val="header"/>
    <w:basedOn w:val="1"/>
    <w:link w:val="35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6">
    <w:name w:val="Subtitle"/>
    <w:basedOn w:val="1"/>
    <w:next w:val="1"/>
    <w:link w:val="36"/>
    <w:qFormat/>
    <w:uiPriority w:val="99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paragraph" w:styleId="17">
    <w:name w:val="Normal (Web)"/>
    <w:basedOn w:val="1"/>
    <w:semiHidden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18">
    <w:name w:val="Title"/>
    <w:basedOn w:val="1"/>
    <w:next w:val="1"/>
    <w:link w:val="37"/>
    <w:qFormat/>
    <w:uiPriority w:val="99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21">
    <w:name w:val="Strong"/>
    <w:basedOn w:val="20"/>
    <w:qFormat/>
    <w:uiPriority w:val="99"/>
    <w:rPr>
      <w:rFonts w:cs="Times New Roman"/>
      <w:b/>
      <w:bCs/>
    </w:rPr>
  </w:style>
  <w:style w:type="character" w:styleId="22">
    <w:name w:val="Emphasis"/>
    <w:basedOn w:val="20"/>
    <w:qFormat/>
    <w:uiPriority w:val="99"/>
    <w:rPr>
      <w:rFonts w:ascii="Calibri" w:hAnsi="Calibri" w:cs="Times New Roman"/>
      <w:b/>
      <w:i/>
      <w:iCs/>
    </w:rPr>
  </w:style>
  <w:style w:type="character" w:customStyle="1" w:styleId="23">
    <w:name w:val="标题 1 Char"/>
    <w:basedOn w:val="20"/>
    <w:link w:val="3"/>
    <w:qFormat/>
    <w:locked/>
    <w:uiPriority w:val="99"/>
    <w:rPr>
      <w:rFonts w:ascii="Cambria" w:hAnsi="Cambria" w:eastAsia="宋体" w:cs="Times New Roman"/>
      <w:b/>
      <w:bCs/>
      <w:kern w:val="32"/>
      <w:sz w:val="32"/>
      <w:szCs w:val="32"/>
    </w:rPr>
  </w:style>
  <w:style w:type="character" w:customStyle="1" w:styleId="24">
    <w:name w:val="标题 2 Char"/>
    <w:basedOn w:val="20"/>
    <w:link w:val="2"/>
    <w:semiHidden/>
    <w:qFormat/>
    <w:locked/>
    <w:uiPriority w:val="99"/>
    <w:rPr>
      <w:rFonts w:ascii="Cambria" w:hAnsi="Cambria" w:eastAsia="宋体" w:cs="Times New Roman"/>
      <w:b/>
      <w:bCs/>
      <w:i/>
      <w:iCs/>
      <w:sz w:val="28"/>
      <w:szCs w:val="28"/>
    </w:rPr>
  </w:style>
  <w:style w:type="character" w:customStyle="1" w:styleId="25">
    <w:name w:val="标题 3 Char"/>
    <w:basedOn w:val="20"/>
    <w:link w:val="4"/>
    <w:semiHidden/>
    <w:qFormat/>
    <w:locked/>
    <w:uiPriority w:val="99"/>
    <w:rPr>
      <w:rFonts w:ascii="Cambria" w:hAnsi="Cambria" w:eastAsia="宋体" w:cs="Times New Roman"/>
      <w:b/>
      <w:bCs/>
      <w:sz w:val="26"/>
      <w:szCs w:val="26"/>
    </w:rPr>
  </w:style>
  <w:style w:type="character" w:customStyle="1" w:styleId="26">
    <w:name w:val="标题 4 Char"/>
    <w:basedOn w:val="20"/>
    <w:link w:val="5"/>
    <w:semiHidden/>
    <w:qFormat/>
    <w:locked/>
    <w:uiPriority w:val="99"/>
    <w:rPr>
      <w:rFonts w:cs="Times New Roman"/>
      <w:b/>
      <w:bCs/>
      <w:sz w:val="28"/>
      <w:szCs w:val="28"/>
    </w:rPr>
  </w:style>
  <w:style w:type="character" w:customStyle="1" w:styleId="27">
    <w:name w:val="标题 5 Char"/>
    <w:basedOn w:val="20"/>
    <w:link w:val="6"/>
    <w:semiHidden/>
    <w:qFormat/>
    <w:locked/>
    <w:uiPriority w:val="99"/>
    <w:rPr>
      <w:rFonts w:cs="Times New Roman"/>
      <w:b/>
      <w:bCs/>
      <w:i/>
      <w:iCs/>
      <w:sz w:val="26"/>
      <w:szCs w:val="26"/>
    </w:rPr>
  </w:style>
  <w:style w:type="character" w:customStyle="1" w:styleId="28">
    <w:name w:val="标题 6 Char"/>
    <w:basedOn w:val="20"/>
    <w:link w:val="7"/>
    <w:semiHidden/>
    <w:qFormat/>
    <w:locked/>
    <w:uiPriority w:val="99"/>
    <w:rPr>
      <w:rFonts w:cs="Times New Roman"/>
      <w:b/>
      <w:bCs/>
    </w:rPr>
  </w:style>
  <w:style w:type="character" w:customStyle="1" w:styleId="29">
    <w:name w:val="标题 7 Char"/>
    <w:basedOn w:val="20"/>
    <w:link w:val="8"/>
    <w:semiHidden/>
    <w:qFormat/>
    <w:locked/>
    <w:uiPriority w:val="99"/>
    <w:rPr>
      <w:rFonts w:cs="Times New Roman"/>
      <w:sz w:val="24"/>
      <w:szCs w:val="24"/>
    </w:rPr>
  </w:style>
  <w:style w:type="character" w:customStyle="1" w:styleId="30">
    <w:name w:val="标题 8 Char"/>
    <w:basedOn w:val="20"/>
    <w:link w:val="9"/>
    <w:semiHidden/>
    <w:qFormat/>
    <w:locked/>
    <w:uiPriority w:val="99"/>
    <w:rPr>
      <w:rFonts w:cs="Times New Roman"/>
      <w:i/>
      <w:iCs/>
      <w:sz w:val="24"/>
      <w:szCs w:val="24"/>
    </w:rPr>
  </w:style>
  <w:style w:type="character" w:customStyle="1" w:styleId="31">
    <w:name w:val="标题 9 Char"/>
    <w:basedOn w:val="20"/>
    <w:link w:val="10"/>
    <w:semiHidden/>
    <w:qFormat/>
    <w:locked/>
    <w:uiPriority w:val="99"/>
    <w:rPr>
      <w:rFonts w:ascii="Cambria" w:hAnsi="Cambria" w:eastAsia="宋体" w:cs="Times New Roman"/>
    </w:rPr>
  </w:style>
  <w:style w:type="character" w:customStyle="1" w:styleId="32">
    <w:name w:val="正文文本 Char"/>
    <w:basedOn w:val="20"/>
    <w:link w:val="12"/>
    <w:semiHidden/>
    <w:qFormat/>
    <w:locked/>
    <w:uiPriority w:val="99"/>
    <w:rPr>
      <w:rFonts w:cs="Times New Roman"/>
      <w:sz w:val="24"/>
      <w:szCs w:val="24"/>
    </w:rPr>
  </w:style>
  <w:style w:type="character" w:customStyle="1" w:styleId="33">
    <w:name w:val="批注框文本 Char"/>
    <w:basedOn w:val="20"/>
    <w:link w:val="13"/>
    <w:semiHidden/>
    <w:qFormat/>
    <w:locked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34">
    <w:name w:val="页脚 Char"/>
    <w:basedOn w:val="20"/>
    <w:link w:val="14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35">
    <w:name w:val="页眉 Char"/>
    <w:basedOn w:val="20"/>
    <w:link w:val="15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36">
    <w:name w:val="副标题 Char"/>
    <w:basedOn w:val="20"/>
    <w:link w:val="16"/>
    <w:qFormat/>
    <w:locked/>
    <w:uiPriority w:val="99"/>
    <w:rPr>
      <w:rFonts w:ascii="Cambria" w:hAnsi="Cambria" w:eastAsia="宋体" w:cs="Times New Roman"/>
      <w:sz w:val="24"/>
      <w:szCs w:val="24"/>
    </w:rPr>
  </w:style>
  <w:style w:type="character" w:customStyle="1" w:styleId="37">
    <w:name w:val="标题 Char"/>
    <w:basedOn w:val="20"/>
    <w:link w:val="18"/>
    <w:qFormat/>
    <w:locked/>
    <w:uiPriority w:val="99"/>
    <w:rPr>
      <w:rFonts w:ascii="Cambria" w:hAnsi="Cambria" w:eastAsia="宋体" w:cs="Times New Roman"/>
      <w:b/>
      <w:bCs/>
      <w:kern w:val="28"/>
      <w:sz w:val="32"/>
      <w:szCs w:val="32"/>
    </w:rPr>
  </w:style>
  <w:style w:type="paragraph" w:styleId="38">
    <w:name w:val="No Spacing"/>
    <w:basedOn w:val="1"/>
    <w:qFormat/>
    <w:uiPriority w:val="99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styleId="39">
    <w:name w:val="List Paragraph"/>
    <w:basedOn w:val="1"/>
    <w:qFormat/>
    <w:uiPriority w:val="99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styleId="40">
    <w:name w:val="Quote"/>
    <w:basedOn w:val="1"/>
    <w:next w:val="1"/>
    <w:link w:val="41"/>
    <w:qFormat/>
    <w:uiPriority w:val="99"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41">
    <w:name w:val="引用 Char"/>
    <w:basedOn w:val="20"/>
    <w:link w:val="40"/>
    <w:qFormat/>
    <w:locked/>
    <w:uiPriority w:val="99"/>
    <w:rPr>
      <w:rFonts w:cs="Times New Roman"/>
      <w:i/>
      <w:sz w:val="24"/>
      <w:szCs w:val="24"/>
    </w:rPr>
  </w:style>
  <w:style w:type="paragraph" w:styleId="42">
    <w:name w:val="Intense Quote"/>
    <w:basedOn w:val="1"/>
    <w:next w:val="1"/>
    <w:link w:val="43"/>
    <w:qFormat/>
    <w:uiPriority w:val="99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43">
    <w:name w:val="明显引用 Char"/>
    <w:basedOn w:val="20"/>
    <w:link w:val="42"/>
    <w:qFormat/>
    <w:locked/>
    <w:uiPriority w:val="99"/>
    <w:rPr>
      <w:rFonts w:cs="Times New Roman"/>
      <w:b/>
      <w:i/>
      <w:sz w:val="24"/>
    </w:rPr>
  </w:style>
  <w:style w:type="character" w:customStyle="1" w:styleId="44">
    <w:name w:val="Subtle Emphasis1"/>
    <w:qFormat/>
    <w:uiPriority w:val="99"/>
    <w:rPr>
      <w:i/>
      <w:color w:val="595959"/>
    </w:rPr>
  </w:style>
  <w:style w:type="character" w:customStyle="1" w:styleId="45">
    <w:name w:val="Intense Emphasis1"/>
    <w:basedOn w:val="20"/>
    <w:qFormat/>
    <w:uiPriority w:val="99"/>
    <w:rPr>
      <w:rFonts w:cs="Times New Roman"/>
      <w:b/>
      <w:i/>
      <w:sz w:val="24"/>
      <w:szCs w:val="24"/>
      <w:u w:val="single"/>
    </w:rPr>
  </w:style>
  <w:style w:type="character" w:customStyle="1" w:styleId="46">
    <w:name w:val="Subtle Reference1"/>
    <w:basedOn w:val="20"/>
    <w:qFormat/>
    <w:uiPriority w:val="99"/>
    <w:rPr>
      <w:rFonts w:cs="Times New Roman"/>
      <w:sz w:val="24"/>
      <w:szCs w:val="24"/>
      <w:u w:val="single"/>
    </w:rPr>
  </w:style>
  <w:style w:type="character" w:customStyle="1" w:styleId="47">
    <w:name w:val="Intense Reference1"/>
    <w:basedOn w:val="20"/>
    <w:qFormat/>
    <w:uiPriority w:val="99"/>
    <w:rPr>
      <w:rFonts w:cs="Times New Roman"/>
      <w:b/>
      <w:sz w:val="24"/>
      <w:u w:val="single"/>
    </w:rPr>
  </w:style>
  <w:style w:type="character" w:customStyle="1" w:styleId="48">
    <w:name w:val="Book Title1"/>
    <w:basedOn w:val="20"/>
    <w:qFormat/>
    <w:uiPriority w:val="99"/>
    <w:rPr>
      <w:rFonts w:ascii="Cambria" w:hAnsi="Cambria" w:eastAsia="宋体" w:cs="Times New Roman"/>
      <w:b/>
      <w:i/>
      <w:sz w:val="24"/>
      <w:szCs w:val="24"/>
    </w:rPr>
  </w:style>
  <w:style w:type="paragraph" w:customStyle="1" w:styleId="49">
    <w:name w:val="TOC Heading1"/>
    <w:basedOn w:val="3"/>
    <w:next w:val="1"/>
    <w:semiHidden/>
    <w:qFormat/>
    <w:uiPriority w:val="99"/>
    <w:pPr>
      <w:outlineLvl w:val="9"/>
    </w:pPr>
    <w:rPr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3480</Words>
  <Characters>3973</Characters>
  <Lines>53</Lines>
  <Paragraphs>15</Paragraphs>
  <TotalTime>13</TotalTime>
  <ScaleCrop>false</ScaleCrop>
  <LinksUpToDate>false</LinksUpToDate>
  <CharactersWithSpaces>4004</CharactersWithSpaces>
  <Application>WPS Office_11.8.2.12251_F1E327BC-269C-435d-A152-05C5408002CA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2019-09-18T02:43:00Z</dcterms:created>
  <dc:creator>赵 恺（预算处）</dc:creator>
  <cp:lastModifiedBy>Administrator</cp:lastModifiedBy>
  <cp:lastPrinted>2023-08-04T10:59:00Z</cp:lastPrinted>
  <dcterms:modified xsi:type="dcterms:W3CDTF">2024-08-06T08:07:41Z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2052-11.8.2.12251</vt:lpwstr>
  </property>
  <property fmtid="{D5CDD505-2E9C-101B-9397-08002B2CF9AE}" pid="3" name="ICV">
    <vt:lpwstr>E31F95B7B57B4CB1BA8DFAFF009F4DC0</vt:lpwstr>
  </property>
</Properties>
</file>