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firstLine="0" w:firstLineChars="0"/>
        <w:jc w:val="center"/>
        <w:rPr>
          <w:rFonts w:hint="eastAsia" w:ascii="黑体" w:hAnsi="黑体" w:eastAsia="黑体"/>
          <w:b/>
          <w:bCs/>
          <w:sz w:val="52"/>
          <w:szCs w:val="52"/>
        </w:rPr>
      </w:pPr>
      <w:r>
        <w:rPr>
          <w:rFonts w:hint="eastAsia" w:eastAsia="方正小标宋简体"/>
          <w:sz w:val="52"/>
          <w:szCs w:val="52"/>
        </w:rPr>
        <w:t xml:space="preserve"> </w:t>
      </w:r>
      <w:r>
        <w:rPr>
          <w:rFonts w:eastAsia="方正小标宋简体"/>
          <w:sz w:val="52"/>
          <w:szCs w:val="52"/>
        </w:rPr>
        <w:t xml:space="preserve"> </w:t>
      </w:r>
      <w:r>
        <w:rPr>
          <w:rFonts w:hint="eastAsia" w:ascii="黑体" w:hAnsi="黑体" w:eastAsia="黑体"/>
          <w:b/>
          <w:bCs/>
          <w:sz w:val="52"/>
          <w:szCs w:val="52"/>
        </w:rPr>
        <w:t>202</w:t>
      </w:r>
      <w:r>
        <w:rPr>
          <w:rFonts w:hint="eastAsia" w:ascii="黑体" w:hAnsi="黑体" w:eastAsia="黑体"/>
          <w:b/>
          <w:bCs/>
          <w:sz w:val="52"/>
          <w:szCs w:val="52"/>
          <w:lang w:val="en-US" w:eastAsia="zh-CN"/>
        </w:rPr>
        <w:t>5</w:t>
      </w:r>
      <w:r>
        <w:rPr>
          <w:rFonts w:hint="eastAsia" w:ascii="黑体" w:hAnsi="黑体" w:eastAsia="黑体"/>
          <w:b/>
          <w:bCs/>
          <w:sz w:val="52"/>
          <w:szCs w:val="52"/>
        </w:rPr>
        <w:t>年度预算绩效评价</w:t>
      </w:r>
      <w:r>
        <w:rPr>
          <w:rFonts w:ascii="黑体" w:hAnsi="黑体" w:eastAsia="黑体"/>
          <w:b/>
          <w:bCs/>
          <w:sz w:val="52"/>
          <w:szCs w:val="52"/>
        </w:rPr>
        <w:t>报告</w:t>
      </w: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600" w:lineRule="exact"/>
        <w:ind w:firstLine="640"/>
        <w:rPr>
          <w:rFonts w:hint="eastAsia" w:eastAsia="黑体"/>
          <w:sz w:val="32"/>
          <w:szCs w:val="32"/>
        </w:rPr>
      </w:pPr>
    </w:p>
    <w:p>
      <w:pPr>
        <w:spacing w:line="900" w:lineRule="exact"/>
        <w:ind w:left="2660" w:leftChars="200" w:hanging="2240" w:hangingChars="700"/>
        <w:rPr>
          <w:rFonts w:ascii="黑体" w:hAnsi="黑体" w:eastAsia="黑体"/>
          <w:sz w:val="32"/>
          <w:szCs w:val="32"/>
          <w:u w:val="single"/>
        </w:rPr>
      </w:pPr>
      <w:r>
        <w:rPr>
          <w:rFonts w:ascii="黑体" w:hAnsi="黑体" w:eastAsia="黑体"/>
          <w:sz w:val="32"/>
          <w:szCs w:val="32"/>
        </w:rPr>
        <w:t>项 目 名 称：</w:t>
      </w:r>
      <w:r>
        <w:rPr>
          <w:rFonts w:hint="eastAsia" w:ascii="黑体" w:hAnsi="黑体" w:eastAsia="黑体"/>
          <w:sz w:val="32"/>
          <w:szCs w:val="32"/>
          <w:u w:val="single"/>
        </w:rPr>
        <w:t xml:space="preserve">关于提前下达2024年中央水利发展资金 </w:t>
      </w:r>
      <w:r>
        <w:rPr>
          <w:rFonts w:ascii="黑体" w:hAnsi="黑体" w:eastAsia="黑体"/>
          <w:sz w:val="32"/>
          <w:szCs w:val="32"/>
          <w:u w:val="single"/>
        </w:rPr>
        <w:t xml:space="preserve">                     </w:t>
      </w:r>
    </w:p>
    <w:p>
      <w:pPr>
        <w:spacing w:line="900" w:lineRule="exact"/>
        <w:ind w:left="2660" w:leftChars="200" w:hanging="2240" w:hangingChars="700"/>
        <w:jc w:val="center"/>
        <w:rPr>
          <w:rFonts w:ascii="黑体" w:hAnsi="黑体" w:eastAsia="黑体"/>
          <w:sz w:val="32"/>
          <w:szCs w:val="32"/>
          <w:u w:val="single"/>
        </w:rPr>
      </w:pP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预算的通知 </w:t>
      </w:r>
      <w:r>
        <w:rPr>
          <w:rFonts w:ascii="黑体" w:hAnsi="黑体" w:eastAsia="黑体"/>
          <w:sz w:val="32"/>
          <w:szCs w:val="32"/>
          <w:u w:val="single"/>
        </w:rPr>
        <w:t xml:space="preserve">             </w:t>
      </w:r>
    </w:p>
    <w:p>
      <w:pPr>
        <w:spacing w:line="900" w:lineRule="exact"/>
        <w:ind w:firstLine="480" w:firstLineChars="150"/>
        <w:rPr>
          <w:rFonts w:hint="eastAsia" w:ascii="黑体" w:hAnsi="黑体" w:eastAsia="黑体"/>
          <w:sz w:val="32"/>
          <w:szCs w:val="32"/>
          <w:u w:val="single"/>
        </w:rPr>
      </w:pPr>
      <w:r>
        <w:rPr>
          <w:rFonts w:ascii="黑体" w:hAnsi="黑体" w:eastAsia="黑体"/>
          <w:sz w:val="32"/>
          <w:szCs w:val="32"/>
        </w:rPr>
        <w:t>项 目 单 位：</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sz w:val="32"/>
          <w:szCs w:val="32"/>
          <w:u w:val="single"/>
          <w:lang w:val="en-US" w:eastAsia="zh-CN"/>
        </w:rPr>
        <w:t xml:space="preserve">   </w:t>
      </w:r>
      <w:r>
        <w:rPr>
          <w:rFonts w:hint="eastAsia" w:ascii="黑体" w:hAnsi="黑体" w:eastAsia="黑体"/>
          <w:sz w:val="32"/>
          <w:szCs w:val="32"/>
          <w:u w:val="single"/>
          <w:lang w:eastAsia="zh-CN"/>
        </w:rPr>
        <w:t>哈密市伊州区水利局</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p>
    <w:p>
      <w:pPr>
        <w:spacing w:line="900" w:lineRule="exact"/>
        <w:ind w:firstLine="480" w:firstLineChars="150"/>
        <w:rPr>
          <w:rFonts w:hint="eastAsia" w:ascii="黑体" w:hAnsi="黑体" w:eastAsia="黑体"/>
          <w:sz w:val="32"/>
          <w:szCs w:val="32"/>
        </w:rPr>
      </w:pPr>
      <w:r>
        <w:rPr>
          <w:rFonts w:ascii="黑体" w:hAnsi="黑体" w:eastAsia="黑体"/>
          <w:sz w:val="32"/>
          <w:szCs w:val="32"/>
        </w:rPr>
        <w:t>主 管 部 门：</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sz w:val="32"/>
          <w:szCs w:val="32"/>
          <w:u w:val="single"/>
          <w:lang w:val="en-US" w:eastAsia="zh-CN"/>
        </w:rPr>
        <w:t xml:space="preserve">   </w:t>
      </w:r>
      <w:r>
        <w:rPr>
          <w:rFonts w:hint="eastAsia" w:ascii="黑体" w:hAnsi="黑体" w:eastAsia="黑体"/>
          <w:sz w:val="32"/>
          <w:szCs w:val="32"/>
          <w:u w:val="single"/>
          <w:lang w:eastAsia="zh-CN"/>
        </w:rPr>
        <w:t>哈密市伊州区水利局</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ascii="黑体" w:hAnsi="黑体" w:eastAsia="黑体"/>
          <w:sz w:val="32"/>
          <w:szCs w:val="32"/>
          <w:u w:val="single"/>
        </w:rPr>
        <w:t xml:space="preserve">          </w:t>
      </w:r>
    </w:p>
    <w:p>
      <w:pPr>
        <w:spacing w:line="900" w:lineRule="exact"/>
        <w:ind w:firstLine="480" w:firstLineChars="150"/>
        <w:rPr>
          <w:rFonts w:hint="eastAsia" w:ascii="黑体" w:hAnsi="黑体" w:eastAsia="黑体"/>
          <w:sz w:val="32"/>
          <w:szCs w:val="32"/>
        </w:rPr>
      </w:pPr>
      <w:r>
        <w:rPr>
          <w:rFonts w:ascii="黑体" w:hAnsi="黑体" w:eastAsia="黑体"/>
          <w:sz w:val="32"/>
          <w:szCs w:val="32"/>
        </w:rPr>
        <w:t xml:space="preserve">评 </w:t>
      </w:r>
      <w:r>
        <w:rPr>
          <w:rFonts w:hint="eastAsia" w:ascii="黑体" w:hAnsi="黑体" w:eastAsia="黑体"/>
          <w:sz w:val="32"/>
          <w:szCs w:val="32"/>
        </w:rPr>
        <w:t xml:space="preserve">价 </w:t>
      </w:r>
      <w:r>
        <w:rPr>
          <w:rFonts w:ascii="黑体" w:hAnsi="黑体" w:eastAsia="黑体"/>
          <w:sz w:val="32"/>
          <w:szCs w:val="32"/>
        </w:rPr>
        <w:t>机 构</w:t>
      </w:r>
      <w:r>
        <w:rPr>
          <w:rFonts w:hint="eastAsia" w:ascii="黑体" w:hAnsi="黑体" w:eastAsia="黑体"/>
          <w:sz w:val="32"/>
          <w:szCs w:val="32"/>
        </w:rPr>
        <w:t>：</w:t>
      </w:r>
      <w:r>
        <w:rPr>
          <w:rFonts w:ascii="黑体" w:hAnsi="黑体" w:eastAsia="黑体"/>
          <w:sz w:val="32"/>
          <w:szCs w:val="32"/>
          <w:u w:val="single"/>
        </w:rPr>
        <w:t xml:space="preserve">      天津</w:t>
      </w:r>
      <w:r>
        <w:rPr>
          <w:rFonts w:hint="eastAsia" w:ascii="黑体" w:hAnsi="黑体" w:eastAsia="黑体"/>
          <w:sz w:val="32"/>
          <w:szCs w:val="32"/>
          <w:u w:val="single"/>
        </w:rPr>
        <w:t>安信管理咨询</w:t>
      </w:r>
      <w:r>
        <w:rPr>
          <w:rFonts w:ascii="黑体" w:hAnsi="黑体" w:eastAsia="黑体"/>
          <w:sz w:val="32"/>
          <w:szCs w:val="32"/>
          <w:u w:val="single"/>
        </w:rPr>
        <w:t xml:space="preserve">有限公司                    </w:t>
      </w:r>
    </w:p>
    <w:p>
      <w:pPr>
        <w:spacing w:line="900" w:lineRule="exact"/>
        <w:ind w:firstLine="480" w:firstLineChars="150"/>
        <w:rPr>
          <w:rFonts w:hint="eastAsia" w:ascii="黑体" w:hAnsi="黑体" w:eastAsia="黑体"/>
          <w:sz w:val="32"/>
          <w:szCs w:val="32"/>
          <w:u w:val="single"/>
        </w:rPr>
      </w:pPr>
      <w:r>
        <w:rPr>
          <w:rFonts w:ascii="黑体" w:hAnsi="黑体" w:eastAsia="黑体"/>
          <w:sz w:val="32"/>
          <w:szCs w:val="32"/>
        </w:rPr>
        <w:t xml:space="preserve">评 </w:t>
      </w:r>
      <w:r>
        <w:rPr>
          <w:rFonts w:hint="eastAsia" w:ascii="黑体" w:hAnsi="黑体" w:eastAsia="黑体"/>
          <w:sz w:val="32"/>
          <w:szCs w:val="32"/>
        </w:rPr>
        <w:t>价</w:t>
      </w:r>
      <w:r>
        <w:rPr>
          <w:rFonts w:ascii="黑体" w:hAnsi="黑体" w:eastAsia="黑体"/>
          <w:sz w:val="32"/>
          <w:szCs w:val="32"/>
        </w:rPr>
        <w:t xml:space="preserve"> 日 期：</w:t>
      </w:r>
      <w:r>
        <w:rPr>
          <w:rFonts w:ascii="黑体" w:hAnsi="黑体" w:eastAsia="黑体"/>
          <w:sz w:val="32"/>
          <w:szCs w:val="32"/>
          <w:u w:val="single"/>
        </w:rPr>
        <w:t xml:space="preserve">            </w:t>
      </w:r>
      <w:r>
        <w:rPr>
          <w:rFonts w:ascii="黑体" w:hAnsi="黑体" w:eastAsia="黑体" w:cs="Times New Roman"/>
          <w:sz w:val="32"/>
          <w:szCs w:val="32"/>
          <w:u w:val="single"/>
        </w:rPr>
        <w:t>202</w:t>
      </w:r>
      <w:r>
        <w:rPr>
          <w:rFonts w:hint="eastAsia" w:ascii="黑体" w:hAnsi="黑体" w:eastAsia="黑体" w:cs="Times New Roman"/>
          <w:sz w:val="32"/>
          <w:szCs w:val="32"/>
          <w:u w:val="single"/>
          <w:lang w:val="en-US" w:eastAsia="zh-CN"/>
        </w:rPr>
        <w:t>5</w:t>
      </w:r>
      <w:r>
        <w:rPr>
          <w:rFonts w:hint="eastAsia" w:ascii="黑体" w:hAnsi="黑体" w:eastAsia="黑体"/>
          <w:sz w:val="32"/>
          <w:szCs w:val="32"/>
          <w:u w:val="single"/>
        </w:rPr>
        <w:t>年</w:t>
      </w:r>
      <w:r>
        <w:rPr>
          <w:rFonts w:hint="eastAsia" w:ascii="黑体" w:hAnsi="黑体" w:eastAsia="黑体" w:cs="Times New Roman"/>
          <w:sz w:val="32"/>
          <w:szCs w:val="32"/>
          <w:u w:val="single"/>
          <w:lang w:val="en-US" w:eastAsia="zh-CN"/>
        </w:rPr>
        <w:t>7</w:t>
      </w:r>
      <w:r>
        <w:rPr>
          <w:rFonts w:hint="eastAsia" w:ascii="黑体" w:hAnsi="黑体" w:eastAsia="黑体"/>
          <w:sz w:val="32"/>
          <w:szCs w:val="32"/>
          <w:u w:val="single"/>
        </w:rPr>
        <w:t>月</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pPr>
        <w:spacing w:line="900" w:lineRule="exact"/>
        <w:ind w:firstLine="480" w:firstLineChars="150"/>
        <w:rPr>
          <w:rFonts w:hint="eastAsia" w:eastAsia="仿宋_GB2312"/>
          <w:sz w:val="32"/>
          <w:szCs w:val="32"/>
          <w:u w:val="single"/>
        </w:rPr>
      </w:pPr>
    </w:p>
    <w:p>
      <w:pPr>
        <w:spacing w:line="900" w:lineRule="exact"/>
        <w:ind w:firstLine="640"/>
        <w:jc w:val="center"/>
        <w:rPr>
          <w:rFonts w:hint="eastAsia" w:ascii="黑体" w:hAnsi="黑体" w:eastAsia="黑体" w:cs="黑体"/>
          <w:sz w:val="32"/>
          <w:szCs w:val="32"/>
        </w:rPr>
      </w:pPr>
    </w:p>
    <w:p>
      <w:pPr>
        <w:widowControl/>
        <w:spacing w:line="240" w:lineRule="auto"/>
        <w:ind w:firstLine="0" w:firstLineChars="0"/>
        <w:jc w:val="center"/>
        <w:rPr>
          <w:rFonts w:hint="eastAsia" w:ascii="黑体" w:hAnsi="黑体" w:eastAsia="黑体" w:cs="黑体"/>
          <w:sz w:val="32"/>
          <w:szCs w:val="32"/>
        </w:rPr>
      </w:pPr>
      <w:r>
        <w:br w:type="page"/>
      </w:r>
      <w:r>
        <w:rPr>
          <w:rFonts w:ascii="黑体" w:hAnsi="黑体" w:eastAsia="黑体" w:cs="黑体"/>
          <w:spacing w:val="-4"/>
          <w:sz w:val="43"/>
          <w:szCs w:val="43"/>
        </w:rPr>
        <w:t>摘要</w:t>
      </w:r>
    </w:p>
    <w:p>
      <w:pPr>
        <w:spacing w:before="184" w:line="276" w:lineRule="auto"/>
        <w:ind w:firstLine="205" w:firstLineChars="62"/>
        <w:rPr>
          <w:rFonts w:hint="eastAsia" w:ascii="黑体" w:hAnsi="黑体" w:eastAsia="黑体" w:cs="黑体"/>
          <w:sz w:val="32"/>
          <w:szCs w:val="32"/>
        </w:rPr>
      </w:pPr>
      <w:r>
        <w:rPr>
          <w:rFonts w:ascii="黑体" w:hAnsi="黑体" w:eastAsia="黑体" w:cs="黑体"/>
          <w:spacing w:val="6"/>
          <w:sz w:val="32"/>
          <w:szCs w:val="32"/>
        </w:rPr>
        <w:t>一、项目概述</w:t>
      </w:r>
    </w:p>
    <w:p>
      <w:pPr>
        <w:spacing w:before="184" w:line="276" w:lineRule="auto"/>
        <w:ind w:firstLine="204" w:firstLineChars="62"/>
        <w:rPr>
          <w:rFonts w:hint="eastAsia" w:ascii="楷体" w:hAnsi="楷体" w:eastAsia="楷体" w:cs="楷体"/>
          <w:sz w:val="32"/>
          <w:szCs w:val="32"/>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（一）项目概述</w:t>
      </w:r>
    </w:p>
    <w:p>
      <w:pPr>
        <w:pStyle w:val="26"/>
        <w:ind w:firstLine="640"/>
        <w:rPr>
          <w:rFonts w:hint="eastAsia"/>
          <w:szCs w:val="32"/>
          <w:lang w:val="en-US" w:eastAsia="zh-CN"/>
        </w:rPr>
      </w:pPr>
      <w:r>
        <w:rPr>
          <w:rFonts w:hint="eastAsia"/>
          <w:szCs w:val="32"/>
        </w:rPr>
        <w:t>党的十八大以来，党中央高度重视治水兴水工作，出台了一系列相关政策，要求加强水利基础设施建设，提升水资源管理与保护水平</w:t>
      </w:r>
      <w:r>
        <w:rPr>
          <w:rFonts w:hint="eastAsia"/>
          <w:szCs w:val="32"/>
          <w:lang w:eastAsia="zh-CN"/>
        </w:rPr>
        <w:t>，</w:t>
      </w:r>
      <w:r>
        <w:rPr>
          <w:rFonts w:hint="eastAsia"/>
          <w:szCs w:val="32"/>
        </w:rPr>
        <w:t>强调要高度重视水资源短缺和地下水问题。</w:t>
      </w:r>
      <w:r>
        <w:rPr>
          <w:rFonts w:hint="eastAsia"/>
          <w:szCs w:val="32"/>
          <w:lang w:val="en-US" w:eastAsia="zh-CN"/>
        </w:rPr>
        <w:t>伊州区水利发展工作多项问题亟待解决，一是伊州区</w:t>
      </w:r>
      <w:r>
        <w:rPr>
          <w:rFonts w:hint="eastAsia"/>
          <w:szCs w:val="32"/>
        </w:rPr>
        <w:t>属于典型温带大陆干旱性气候，水资源极为匮乏，降雨稀少，地下水超采是长期存在的历史问题</w:t>
      </w:r>
      <w:r>
        <w:rPr>
          <w:rFonts w:hint="eastAsia"/>
          <w:szCs w:val="32"/>
          <w:lang w:eastAsia="zh-CN"/>
        </w:rPr>
        <w:t>，关系到群众生活、农业灌溉、工业生产、生态保护等方方面面，水利部及自治区人民政府高度重视，要求严格地下水资源管理，遏制地下水水位快速下降趋势。</w:t>
      </w:r>
      <w:r>
        <w:rPr>
          <w:rFonts w:hint="eastAsia"/>
          <w:szCs w:val="32"/>
          <w:lang w:val="en-US" w:eastAsia="zh-CN"/>
        </w:rPr>
        <w:t>二是</w:t>
      </w:r>
      <w:r>
        <w:rPr>
          <w:rFonts w:hint="eastAsia"/>
          <w:szCs w:val="32"/>
          <w:lang w:eastAsia="zh-CN"/>
        </w:rPr>
        <w:t>伊州区山洪灾害防治区防御对象和危险区较多，当前山洪灾害防治仍存在雨水情监测设施站网密度低，部分监测站网布局不合理，部分危险区、防御对象仍存在监测盲区，山洪防治基层乡村和单位</w:t>
      </w:r>
      <w:r>
        <w:rPr>
          <w:rFonts w:hint="eastAsia"/>
          <w:szCs w:val="32"/>
          <w:lang w:val="en-US" w:eastAsia="zh-CN"/>
        </w:rPr>
        <w:t>存在</w:t>
      </w:r>
      <w:r>
        <w:rPr>
          <w:rFonts w:hint="eastAsia"/>
          <w:szCs w:val="32"/>
          <w:lang w:eastAsia="zh-CN"/>
        </w:rPr>
        <w:t>群测群防体系不健全等短板和薄弱环节。</w:t>
      </w:r>
      <w:r>
        <w:rPr>
          <w:rFonts w:hint="eastAsia"/>
          <w:szCs w:val="32"/>
          <w:lang w:val="en-US" w:eastAsia="zh-CN"/>
        </w:rPr>
        <w:t>三是伊州区共建设15处供水工程，随着工程长期运行，部分供水工程的供水设备及元配件、供水管材管件等出现损坏，影响了工程的正常运行，无法稳定保障农村居民的用水需求。四是伊州区小型水库经过洪水、灌溉供水周期的运行，部分水库出现大坝护坡裂缝、沉降等工程实体磨损消耗现象，大坝安全监测设施老化，管理站、闸井房等配套管理设施不满足标准化要求，严重影响了水库的安全运行，降低了其灌溉、防洪和供水保障能力。</w:t>
      </w:r>
    </w:p>
    <w:p>
      <w:pPr>
        <w:pStyle w:val="26"/>
        <w:ind w:firstLine="640"/>
        <w:rPr>
          <w:rFonts w:hint="default"/>
          <w:szCs w:val="32"/>
          <w:lang w:val="en-US" w:eastAsia="zh-CN"/>
        </w:rPr>
      </w:pPr>
      <w:r>
        <w:rPr>
          <w:rFonts w:hint="eastAsia"/>
          <w:szCs w:val="32"/>
          <w:lang w:eastAsia="zh-CN"/>
        </w:rPr>
        <w:t>为</w:t>
      </w:r>
      <w:r>
        <w:rPr>
          <w:rFonts w:hint="eastAsia"/>
          <w:szCs w:val="32"/>
          <w:lang w:val="en-US" w:eastAsia="zh-CN"/>
        </w:rPr>
        <w:t>解决上述问题，</w:t>
      </w:r>
      <w:r>
        <w:rPr>
          <w:rFonts w:hint="eastAsia"/>
          <w:szCs w:val="32"/>
          <w:lang w:eastAsia="zh-CN"/>
        </w:rPr>
        <w:t>保障当地供水安全、生态安全，维护自然生态环境，</w:t>
      </w:r>
      <w:r>
        <w:rPr>
          <w:rFonts w:hint="eastAsia"/>
          <w:szCs w:val="32"/>
          <w:lang w:val="en-US" w:eastAsia="zh-CN"/>
        </w:rPr>
        <w:t>中央下达</w:t>
      </w:r>
      <w:r>
        <w:rPr>
          <w:rFonts w:hint="eastAsia"/>
          <w:szCs w:val="32"/>
          <w:lang w:eastAsia="zh-CN"/>
        </w:rPr>
        <w:t>水利发展</w:t>
      </w:r>
      <w:r>
        <w:rPr>
          <w:rFonts w:hint="eastAsia"/>
          <w:szCs w:val="32"/>
          <w:lang w:val="en-US" w:eastAsia="zh-CN"/>
        </w:rPr>
        <w:t>专项</w:t>
      </w:r>
      <w:r>
        <w:rPr>
          <w:rFonts w:hint="eastAsia"/>
          <w:szCs w:val="32"/>
          <w:lang w:eastAsia="zh-CN"/>
        </w:rPr>
        <w:t>资金</w:t>
      </w:r>
      <w:r>
        <w:rPr>
          <w:rFonts w:hint="eastAsia"/>
          <w:szCs w:val="32"/>
          <w:lang w:val="en-US" w:eastAsia="zh-CN"/>
        </w:rPr>
        <w:t>支持</w:t>
      </w:r>
      <w:r>
        <w:rPr>
          <w:rFonts w:hint="eastAsia"/>
          <w:szCs w:val="32"/>
          <w:lang w:eastAsia="zh-CN"/>
        </w:rPr>
        <w:t>伊州区</w:t>
      </w:r>
      <w:r>
        <w:rPr>
          <w:rFonts w:hint="eastAsia"/>
          <w:szCs w:val="32"/>
          <w:lang w:val="en-US" w:eastAsia="zh-CN"/>
        </w:rPr>
        <w:t>开展</w:t>
      </w:r>
      <w:r>
        <w:rPr>
          <w:rFonts w:hint="eastAsia"/>
          <w:szCs w:val="32"/>
          <w:lang w:eastAsia="zh-CN"/>
        </w:rPr>
        <w:t>地下水超采治理、山洪灾害防治、水库维修养护、</w:t>
      </w:r>
      <w:r>
        <w:rPr>
          <w:rFonts w:hint="eastAsia"/>
          <w:lang w:eastAsia="zh-CN"/>
        </w:rPr>
        <w:t>农村饮用水工程维修养护、农业水价综合改革</w:t>
      </w:r>
      <w:r>
        <w:rPr>
          <w:rFonts w:hint="eastAsia"/>
          <w:szCs w:val="32"/>
          <w:lang w:val="en-US" w:eastAsia="zh-CN"/>
        </w:rPr>
        <w:t>等工作。</w:t>
      </w:r>
    </w:p>
    <w:p>
      <w:pPr>
        <w:spacing w:before="186" w:line="224" w:lineRule="auto"/>
        <w:ind w:firstLine="204" w:firstLineChars="68"/>
        <w:rPr>
          <w:rFonts w:hint="eastAsia" w:ascii="楷体" w:hAnsi="楷体" w:eastAsia="楷体" w:cs="楷体"/>
          <w:sz w:val="32"/>
          <w:szCs w:val="32"/>
        </w:rPr>
      </w:pPr>
      <w:r>
        <w:rPr>
          <w:rFonts w:ascii="楷体" w:hAnsi="楷体" w:eastAsia="楷体" w:cs="楷体"/>
          <w:spacing w:val="-10"/>
          <w:sz w:val="32"/>
          <w:szCs w:val="32"/>
          <w14:textOutline w14:w="5791" w14:cap="flat" w14:cmpd="sng" w14:algn="ctr">
            <w14:solidFill>
              <w14:srgbClr w14:val="000000"/>
            </w14:solidFill>
            <w14:prstDash w14:val="solid"/>
            <w14:miter w14:val="0"/>
          </w14:textOutline>
        </w:rPr>
        <w:t>（二）项目实施情况</w:t>
      </w:r>
    </w:p>
    <w:p>
      <w:pPr>
        <w:pStyle w:val="26"/>
        <w:ind w:firstLine="640"/>
        <w:rPr>
          <w:rFonts w:hint="eastAsia" w:eastAsia="仿宋_GB2312"/>
          <w:lang w:val="en-US" w:eastAsia="zh-CN"/>
        </w:rPr>
      </w:pPr>
      <w:r>
        <w:rPr>
          <w:rFonts w:hint="eastAsia"/>
          <w:szCs w:val="32"/>
          <w:lang w:val="en-US" w:eastAsia="zh-CN"/>
        </w:rPr>
        <w:t>2024年</w:t>
      </w:r>
      <w:r>
        <w:rPr>
          <w:rFonts w:hint="eastAsia"/>
          <w:szCs w:val="32"/>
          <w:lang w:eastAsia="zh-CN"/>
        </w:rPr>
        <w:t>哈密市伊州区水利局根据相关文件通过自治区防汛抗旱服务中心审查。地下水超采治理地表水置换地下水工程一期（东郊草场片区）项目建议书、初步设计及概算经哈密市伊州区发展和改革委员会同意并批复</w:t>
      </w:r>
      <w:r>
        <w:rPr>
          <w:rFonts w:hint="eastAsia"/>
        </w:rPr>
        <w:t>。</w:t>
      </w:r>
      <w:r>
        <w:rPr>
          <w:rFonts w:hint="eastAsia"/>
          <w:lang w:val="en-US" w:eastAsia="zh-CN"/>
        </w:rPr>
        <w:t>根据项目实施方案及初步设计，各项目完成情况具体包括：一是全年完成建立山洪灾害防治责任制体系，编制县乡村三级预案，补充新建雨水情监测站点（站点优化）7个，更新4G监测站（迁移）2个，增设卫星通信信道2个</w:t>
      </w:r>
      <w:r>
        <w:rPr>
          <w:rFonts w:hint="eastAsia"/>
        </w:rPr>
        <w:t>。</w:t>
      </w:r>
      <w:r>
        <w:rPr>
          <w:rFonts w:hint="eastAsia"/>
          <w:lang w:val="en-US" w:eastAsia="zh-CN"/>
        </w:rPr>
        <w:t>二是完成大泉湾水厂更新新机井1眼(井深100m),安装潜水泵1套，配套输电线、55KVA变压器1套，启动柜等设施，新建机井房1座，维修1号供水井水泵、配电、管道等设施设备，改建户表井 11座、闸阀井2座。西郊水厂改建闸阀井2座，维修更换井盖 21座。骆驼圈子水厂改建户表井3座，更换井盖51座</w:t>
      </w:r>
      <w:r>
        <w:rPr>
          <w:rFonts w:hint="eastAsia"/>
        </w:rPr>
        <w:t>。</w:t>
      </w:r>
      <w:r>
        <w:rPr>
          <w:rFonts w:hint="eastAsia"/>
          <w:lang w:val="en-US" w:eastAsia="zh-CN"/>
        </w:rPr>
        <w:t>为小堡村安装家用净水器 200 套。三是完成对乌拉台水库等16座小型水库进行维修养护，对乌拉台水库等16座小型水库94km防洪堤进行白蚁等害堤动物防治。四是石城子渠灌区，维修石城子渠首管理站计量设施1处、开展计量设施率定10座，拆除量水堰修复渠道1处，维修灌区闸门55座，维修西千渠 2km、冲砂闸1座，石城子渠首清淤等。沁城灌区修订计量设施15座，维修渠道1.5km，维修灌区闸门55座，维修大、小天生圈渠首闸门，维修西路村分水闸1座。都鲁克灌区维修灌区闸门30座，维修白杨沟渠首闸门及启闭机，沉砂池清淤2座等。五是在伊州区陶家官镇新建输水管道24.246公里及48座各类阀井等配套附属构筑物等，解决伊州区</w:t>
      </w:r>
      <w:r>
        <w:rPr>
          <w:rFonts w:hint="eastAsia"/>
        </w:rPr>
        <w:t>东郊草场片区地下水超采</w:t>
      </w:r>
      <w:r>
        <w:rPr>
          <w:rFonts w:hint="eastAsia"/>
          <w:lang w:val="en-US" w:eastAsia="zh-CN"/>
        </w:rPr>
        <w:t>问题。</w:t>
      </w:r>
    </w:p>
    <w:p>
      <w:pPr>
        <w:spacing w:before="189" w:line="276" w:lineRule="auto"/>
        <w:ind w:firstLine="205" w:firstLineChars="63"/>
        <w:rPr>
          <w:rFonts w:hint="eastAsia" w:ascii="楷体" w:hAnsi="楷体" w:eastAsia="楷体" w:cs="楷体"/>
          <w:sz w:val="32"/>
          <w:szCs w:val="32"/>
        </w:rPr>
      </w:pPr>
      <w:r>
        <w:rPr>
          <w:rFonts w:ascii="楷体" w:hAnsi="楷体" w:eastAsia="楷体" w:cs="楷体"/>
          <w:spacing w:val="3"/>
          <w:sz w:val="32"/>
          <w:szCs w:val="32"/>
          <w14:textOutline w14:w="5791" w14:cap="flat" w14:cmpd="sng" w14:algn="ctr">
            <w14:solidFill>
              <w14:srgbClr w14:val="000000"/>
            </w14:solidFill>
            <w14:prstDash w14:val="solid"/>
            <w14:miter w14:val="0"/>
          </w14:textOutline>
        </w:rPr>
        <w:t>（三）绩效目标</w:t>
      </w:r>
    </w:p>
    <w:p>
      <w:pPr>
        <w:spacing w:before="182" w:line="276" w:lineRule="auto"/>
        <w:ind w:firstLine="203" w:firstLineChars="64"/>
        <w:rPr>
          <w:rFonts w:hint="eastAsia" w:ascii="仿宋" w:hAnsi="仿宋" w:eastAsia="仿宋" w:cs="仿宋"/>
          <w:sz w:val="32"/>
          <w:szCs w:val="32"/>
        </w:rPr>
      </w:pPr>
      <w:r>
        <w:rPr>
          <w:rFonts w:ascii="Times New Roman" w:hAnsi="Times New Roman" w:eastAsia="Times New Roman" w:cs="Times New Roman"/>
          <w:spacing w:val="-1"/>
          <w:sz w:val="32"/>
          <w:szCs w:val="32"/>
        </w:rPr>
        <w:t>1.</w:t>
      </w:r>
      <w:r>
        <w:rPr>
          <w:rFonts w:ascii="仿宋" w:hAnsi="仿宋" w:eastAsia="仿宋" w:cs="仿宋"/>
          <w:spacing w:val="-1"/>
          <w:sz w:val="32"/>
          <w:szCs w:val="32"/>
        </w:rPr>
        <w:t>总目标</w:t>
      </w:r>
    </w:p>
    <w:p>
      <w:pPr>
        <w:pStyle w:val="26"/>
        <w:spacing w:line="360" w:lineRule="auto"/>
        <w:ind w:firstLine="640"/>
        <w:rPr>
          <w:rFonts w:cs="Times New Roman"/>
        </w:rPr>
      </w:pPr>
      <w:r>
        <w:rPr>
          <w:rFonts w:hint="eastAsia" w:cs="Times New Roman"/>
        </w:rPr>
        <w:t>开展有关水利建设和维修养护及地表水置换地下水工程，推动水利改革发展</w:t>
      </w:r>
      <w:r>
        <w:rPr>
          <w:rFonts w:cs="Times New Roman"/>
        </w:rPr>
        <w:t>。</w:t>
      </w:r>
    </w:p>
    <w:p>
      <w:pPr>
        <w:pStyle w:val="26"/>
        <w:spacing w:line="360" w:lineRule="auto"/>
        <w:ind w:firstLine="320" w:firstLineChars="100"/>
      </w:pPr>
      <w:r>
        <w:rPr>
          <w:rFonts w:hint="eastAsia"/>
        </w:rPr>
        <w:t>2.年度绩效目标</w:t>
      </w:r>
    </w:p>
    <w:p>
      <w:pPr>
        <w:pStyle w:val="26"/>
        <w:spacing w:line="360" w:lineRule="auto"/>
        <w:ind w:firstLine="640"/>
      </w:pPr>
      <w:r>
        <w:rPr>
          <w:rFonts w:hint="eastAsia"/>
        </w:rPr>
        <w:t>根据《</w:t>
      </w:r>
      <w:r>
        <w:rPr>
          <w:rFonts w:hint="eastAsia"/>
          <w:lang w:eastAsia="zh-CN"/>
        </w:rPr>
        <w:t>关于提前下达2024年中央水利发展资金</w:t>
      </w:r>
      <w:r>
        <w:rPr>
          <w:rFonts w:hint="eastAsia"/>
        </w:rPr>
        <w:t>项目</w:t>
      </w:r>
      <w:r>
        <w:t>绩效目标申报表》，本项目202</w:t>
      </w:r>
      <w:r>
        <w:rPr>
          <w:rFonts w:hint="eastAsia"/>
          <w:lang w:val="en-US" w:eastAsia="zh-CN"/>
        </w:rPr>
        <w:t>4</w:t>
      </w:r>
      <w:r>
        <w:t>年</w:t>
      </w:r>
      <w:r>
        <w:rPr>
          <w:rFonts w:hint="eastAsia"/>
        </w:rPr>
        <w:t>度</w:t>
      </w:r>
      <w:r>
        <w:t>绩效目标见</w:t>
      </w:r>
      <w:r>
        <w:rPr>
          <w:rFonts w:hint="eastAsia"/>
        </w:rPr>
        <w:t>下</w:t>
      </w:r>
      <w:r>
        <w:t>表</w:t>
      </w:r>
      <w:r>
        <w:rPr>
          <w:rFonts w:hint="eastAsia"/>
        </w:rPr>
        <w:t>。</w:t>
      </w:r>
    </w:p>
    <w:p>
      <w:pPr>
        <w:spacing w:before="33" w:line="600" w:lineRule="exact"/>
        <w:ind w:firstLine="198" w:firstLineChars="82"/>
        <w:jc w:val="center"/>
        <w:rPr>
          <w:rFonts w:hint="eastAsia" w:ascii="宋体" w:hAnsi="宋体" w:eastAsia="宋体" w:cs="仿宋"/>
          <w:b/>
          <w:bCs/>
          <w:sz w:val="24"/>
          <w:szCs w:val="24"/>
        </w:rPr>
      </w:pPr>
      <w:r>
        <w:rPr>
          <w:rFonts w:hint="eastAsia" w:ascii="宋体" w:hAnsi="宋体" w:eastAsia="宋体" w:cs="黑体"/>
          <w:b/>
          <w:bCs/>
          <w:sz w:val="24"/>
          <w:szCs w:val="24"/>
          <w:lang w:eastAsia="zh-CN"/>
        </w:rPr>
        <w:t>关于提前下达2024年中央水利发展资金</w:t>
      </w:r>
      <w:r>
        <w:rPr>
          <w:rFonts w:ascii="宋体" w:hAnsi="宋体" w:eastAsia="宋体" w:cs="黑体"/>
          <w:b/>
          <w:bCs/>
          <w:sz w:val="24"/>
          <w:szCs w:val="24"/>
        </w:rPr>
        <w:t>项目绩效目标表</w:t>
      </w:r>
    </w:p>
    <w:p>
      <w:pPr>
        <w:spacing w:line="148" w:lineRule="exact"/>
        <w:ind w:firstLine="420"/>
        <w:rPr>
          <w:rFonts w:hint="eastAsia"/>
        </w:rPr>
      </w:pP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843"/>
        <w:gridCol w:w="721"/>
        <w:gridCol w:w="239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97"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项目名称</w:t>
            </w:r>
          </w:p>
        </w:tc>
        <w:tc>
          <w:tcPr>
            <w:tcW w:w="8112" w:type="dxa"/>
            <w:gridSpan w:val="5"/>
            <w:vAlign w:val="center"/>
          </w:tcPr>
          <w:p>
            <w:pPr>
              <w:pStyle w:val="26"/>
              <w:spacing w:line="360" w:lineRule="auto"/>
              <w:ind w:firstLine="0" w:firstLineChars="0"/>
              <w:jc w:val="center"/>
              <w:rPr>
                <w:rFonts w:hint="eastAsia" w:ascii="宋体" w:hAnsi="宋体" w:eastAsia="宋体"/>
                <w:kern w:val="0"/>
                <w:sz w:val="21"/>
              </w:rPr>
            </w:pPr>
            <w:r>
              <w:rPr>
                <w:rFonts w:hint="eastAsia" w:ascii="宋体" w:hAnsi="宋体" w:eastAsia="宋体"/>
                <w:kern w:val="0"/>
                <w:sz w:val="21"/>
                <w:lang w:eastAsia="zh-CN"/>
              </w:rPr>
              <w:t>关于提前下达2024年中央水利发展资金预算的通知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实施单位</w:t>
            </w:r>
          </w:p>
        </w:tc>
        <w:tc>
          <w:tcPr>
            <w:tcW w:w="8112" w:type="dxa"/>
            <w:gridSpan w:val="5"/>
            <w:vAlign w:val="center"/>
          </w:tcPr>
          <w:p>
            <w:pPr>
              <w:pStyle w:val="26"/>
              <w:spacing w:line="360" w:lineRule="auto"/>
              <w:ind w:firstLine="0" w:firstLineChars="0"/>
              <w:jc w:val="center"/>
              <w:rPr>
                <w:rFonts w:hint="eastAsia" w:ascii="宋体" w:hAnsi="宋体" w:eastAsia="宋体"/>
                <w:kern w:val="0"/>
                <w:sz w:val="21"/>
                <w:lang w:eastAsia="zh-CN"/>
              </w:rPr>
            </w:pPr>
            <w:r>
              <w:rPr>
                <w:rFonts w:hint="eastAsia" w:ascii="宋体" w:hAnsi="宋体" w:eastAsia="宋体"/>
                <w:kern w:val="0"/>
                <w:sz w:val="21"/>
                <w:lang w:eastAsia="zh-CN"/>
              </w:rPr>
              <w:t>哈密市伊州区水利局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97" w:type="dxa"/>
            <w:vMerge w:val="restart"/>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项目资金（万元）</w:t>
            </w: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年度资金总额：</w:t>
            </w:r>
          </w:p>
        </w:tc>
        <w:tc>
          <w:tcPr>
            <w:tcW w:w="4098" w:type="dxa"/>
            <w:gridSpan w:val="2"/>
            <w:vAlign w:val="center"/>
          </w:tcPr>
          <w:p>
            <w:pPr>
              <w:pStyle w:val="26"/>
              <w:spacing w:line="360" w:lineRule="auto"/>
              <w:ind w:firstLine="0" w:firstLineChars="0"/>
              <w:jc w:val="center"/>
              <w:rPr>
                <w:rFonts w:cs="Times New Roman"/>
                <w:kern w:val="0"/>
                <w:sz w:val="21"/>
              </w:rPr>
            </w:pPr>
            <w:r>
              <w:rPr>
                <w:rFonts w:hint="eastAsia" w:ascii="Times New Roman" w:hAnsi="Times New Roman" w:cs="Times New Roman"/>
                <w:kern w:val="0"/>
                <w:sz w:val="21"/>
                <w:lang w:val="en-US" w:eastAsia="zh-CN"/>
              </w:rPr>
              <w:t>2682</w:t>
            </w:r>
            <w:r>
              <w:rPr>
                <w:rFonts w:hint="eastAsia" w:ascii="Times New Roman" w:hAnsi="Times New Roman" w:cs="Times New Roman"/>
                <w:kern w:val="0"/>
                <w:sz w:val="21"/>
              </w:rPr>
              <w:t>.5</w:t>
            </w:r>
            <w:r>
              <w:rPr>
                <w:rFonts w:hint="eastAsia" w:ascii="Times New Roman" w:hAnsi="Times New Roman" w:cs="Times New Roman"/>
                <w:kern w:val="0"/>
                <w:sz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6"/>
              <w:spacing w:line="360" w:lineRule="auto"/>
              <w:ind w:firstLine="0" w:firstLineChars="0"/>
              <w:jc w:val="center"/>
              <w:rPr>
                <w:rFonts w:hint="eastAsia" w:ascii="宋体" w:hAnsi="宋体" w:eastAsia="宋体"/>
                <w:b/>
                <w:bCs/>
                <w:kern w:val="0"/>
                <w:sz w:val="21"/>
              </w:rPr>
            </w:pP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其中：财政拨款</w:t>
            </w:r>
          </w:p>
        </w:tc>
        <w:tc>
          <w:tcPr>
            <w:tcW w:w="4098" w:type="dxa"/>
            <w:gridSpan w:val="2"/>
            <w:vAlign w:val="center"/>
          </w:tcPr>
          <w:p>
            <w:pPr>
              <w:pStyle w:val="26"/>
              <w:spacing w:line="360" w:lineRule="auto"/>
              <w:ind w:firstLine="0" w:firstLineChars="0"/>
              <w:jc w:val="center"/>
              <w:rPr>
                <w:rFonts w:cs="Times New Roman"/>
                <w:kern w:val="0"/>
                <w:sz w:val="21"/>
              </w:rPr>
            </w:pPr>
            <w:r>
              <w:rPr>
                <w:rFonts w:hint="eastAsia" w:ascii="Times New Roman" w:hAnsi="Times New Roman" w:cs="Times New Roman"/>
                <w:kern w:val="0"/>
                <w:sz w:val="21"/>
                <w:lang w:val="en-US" w:eastAsia="zh-CN"/>
              </w:rPr>
              <w:t>2682</w:t>
            </w:r>
            <w:r>
              <w:rPr>
                <w:rFonts w:hint="eastAsia" w:ascii="Times New Roman" w:hAnsi="Times New Roman" w:cs="Times New Roman"/>
                <w:kern w:val="0"/>
                <w:sz w:val="21"/>
              </w:rPr>
              <w:t>.5</w:t>
            </w:r>
            <w:r>
              <w:rPr>
                <w:rFonts w:hint="eastAsia" w:ascii="Times New Roman" w:hAnsi="Times New Roman" w:cs="Times New Roman"/>
                <w:kern w:val="0"/>
                <w:sz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6"/>
              <w:spacing w:line="360" w:lineRule="auto"/>
              <w:ind w:firstLine="0" w:firstLineChars="0"/>
              <w:jc w:val="center"/>
              <w:rPr>
                <w:rFonts w:hint="eastAsia" w:ascii="宋体" w:hAnsi="宋体" w:eastAsia="宋体"/>
                <w:b/>
                <w:bCs/>
                <w:kern w:val="0"/>
                <w:sz w:val="21"/>
              </w:rPr>
            </w:pP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其他资金</w:t>
            </w:r>
          </w:p>
        </w:tc>
        <w:tc>
          <w:tcPr>
            <w:tcW w:w="4098" w:type="dxa"/>
            <w:gridSpan w:val="2"/>
            <w:vAlign w:val="center"/>
          </w:tcPr>
          <w:p>
            <w:pPr>
              <w:pStyle w:val="26"/>
              <w:spacing w:line="360" w:lineRule="auto"/>
              <w:ind w:firstLine="0" w:firstLineChars="0"/>
              <w:jc w:val="center"/>
              <w:rPr>
                <w:rFonts w:cs="Times New Roman"/>
                <w:kern w:val="0"/>
                <w:sz w:val="21"/>
              </w:rPr>
            </w:pPr>
            <w:r>
              <w:rPr>
                <w:rFonts w:cs="Times New Roman"/>
                <w:kern w:val="0"/>
                <w:sz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总体目标</w:t>
            </w:r>
          </w:p>
        </w:tc>
        <w:tc>
          <w:tcPr>
            <w:tcW w:w="8112" w:type="dxa"/>
            <w:gridSpan w:val="5"/>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97" w:type="dxa"/>
            <w:vMerge w:val="continue"/>
          </w:tcPr>
          <w:p>
            <w:pPr>
              <w:pStyle w:val="26"/>
              <w:ind w:firstLine="0" w:firstLineChars="0"/>
              <w:rPr>
                <w:rFonts w:ascii="仿宋_GB2312"/>
                <w:kern w:val="0"/>
                <w:sz w:val="22"/>
                <w:szCs w:val="22"/>
              </w:rPr>
            </w:pPr>
          </w:p>
        </w:tc>
        <w:tc>
          <w:tcPr>
            <w:tcW w:w="8112" w:type="dxa"/>
            <w:gridSpan w:val="5"/>
            <w:vAlign w:val="center"/>
          </w:tcPr>
          <w:p>
            <w:pPr>
              <w:pStyle w:val="26"/>
              <w:spacing w:line="240" w:lineRule="auto"/>
              <w:ind w:firstLine="0" w:firstLineChars="0"/>
              <w:rPr>
                <w:rFonts w:eastAsia="宋体" w:cs="Times New Roman"/>
                <w:kern w:val="0"/>
                <w:sz w:val="21"/>
              </w:rPr>
            </w:pPr>
            <w:r>
              <w:rPr>
                <w:rFonts w:hint="eastAsia" w:eastAsia="宋体" w:cs="Times New Roman"/>
                <w:kern w:val="0"/>
                <w:sz w:val="21"/>
              </w:rPr>
              <w:t>开展有关水利建设和维修养护及地表水置换地下水工程，推动水利改革发展。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Merge w:val="restart"/>
          </w:tcPr>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绩效指标</w:t>
            </w:r>
          </w:p>
        </w:tc>
        <w:tc>
          <w:tcPr>
            <w:tcW w:w="1450"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一级指标</w:t>
            </w:r>
          </w:p>
        </w:tc>
        <w:tc>
          <w:tcPr>
            <w:tcW w:w="1843"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二级指标</w:t>
            </w:r>
          </w:p>
        </w:tc>
        <w:tc>
          <w:tcPr>
            <w:tcW w:w="3118" w:type="dxa"/>
            <w:gridSpan w:val="2"/>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三级指标</w:t>
            </w:r>
          </w:p>
        </w:tc>
        <w:tc>
          <w:tcPr>
            <w:tcW w:w="1701"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restart"/>
          </w:tcPr>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产出指标</w:t>
            </w:r>
          </w:p>
        </w:tc>
        <w:tc>
          <w:tcPr>
            <w:tcW w:w="1843" w:type="dxa"/>
            <w:vMerge w:val="restart"/>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数量指标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kern w:val="0"/>
                <w:sz w:val="21"/>
              </w:rPr>
            </w:pPr>
            <w:r>
              <w:rPr>
                <w:rFonts w:hint="eastAsia" w:ascii="宋体" w:hAnsi="宋体" w:eastAsia="宋体" w:cs="宋体"/>
                <w:i w:val="0"/>
                <w:iCs w:val="0"/>
                <w:color w:val="000000"/>
                <w:kern w:val="0"/>
                <w:sz w:val="21"/>
                <w:szCs w:val="21"/>
                <w:u w:val="none"/>
                <w:lang w:val="en-US" w:eastAsia="zh-CN"/>
              </w:rPr>
              <w:t>农村饮水工程维修养护数量</w:t>
            </w:r>
          </w:p>
        </w:tc>
        <w:tc>
          <w:tcPr>
            <w:tcW w:w="1701" w:type="dxa"/>
            <w:vAlign w:val="center"/>
          </w:tcPr>
          <w:p>
            <w:pPr>
              <w:pStyle w:val="26"/>
              <w:spacing w:line="240" w:lineRule="auto"/>
              <w:ind w:firstLine="0" w:firstLineChars="0"/>
              <w:jc w:val="center"/>
              <w:rPr>
                <w:rFonts w:hint="eastAsia" w:eastAsia="宋体" w:cs="Times New Roman"/>
                <w:kern w:val="0"/>
                <w:sz w:val="21"/>
                <w:lang w:eastAsia="zh-CN"/>
              </w:rPr>
            </w:pPr>
            <w:r>
              <w:rPr>
                <w:rFonts w:eastAsia="宋体" w:cs="Times New Roman"/>
                <w:kern w:val="0"/>
                <w:sz w:val="21"/>
              </w:rPr>
              <w:t>&gt;=</w:t>
            </w:r>
            <w:r>
              <w:rPr>
                <w:rFonts w:hint="eastAsia" w:eastAsia="宋体" w:cs="Times New Roman"/>
                <w:kern w:val="0"/>
                <w:sz w:val="21"/>
                <w:lang w:val="en-US" w:eastAsia="zh-CN"/>
              </w:rPr>
              <w:t>3处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vMerge w:val="continue"/>
          </w:tcPr>
          <w:p>
            <w:pPr>
              <w:pStyle w:val="26"/>
              <w:spacing w:line="360" w:lineRule="auto"/>
              <w:ind w:firstLine="0" w:firstLineChars="0"/>
              <w:jc w:val="center"/>
              <w:rPr>
                <w:rFonts w:hint="eastAsia" w:ascii="宋体" w:hAnsi="宋体" w:eastAsia="宋体"/>
                <w:b/>
                <w:bCs/>
                <w:kern w:val="0"/>
                <w:sz w:val="21"/>
              </w:rPr>
            </w:pP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小型水库工程维修养护座数</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&gt;=16座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vMerge w:val="continue"/>
          </w:tcPr>
          <w:p>
            <w:pPr>
              <w:pStyle w:val="26"/>
              <w:spacing w:line="360" w:lineRule="auto"/>
              <w:ind w:firstLine="0" w:firstLineChars="0"/>
              <w:jc w:val="center"/>
              <w:rPr>
                <w:rFonts w:hint="eastAsia" w:ascii="宋体" w:hAnsi="宋体" w:eastAsia="宋体"/>
                <w:b/>
                <w:bCs/>
                <w:kern w:val="0"/>
                <w:sz w:val="21"/>
              </w:rPr>
            </w:pP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山洪灾害防治非工程措施设施维修养护个数</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质量指标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工程验收合格率</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时效指标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工程进度按期完成率</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成本指标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经济成本指标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水利工程建设维护费用</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&lt;=2682.5万元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效益指标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lang w:val="en-US" w:eastAsia="zh-CN"/>
              </w:rPr>
              <w:t>社会</w:t>
            </w:r>
            <w:r>
              <w:rPr>
                <w:rFonts w:hint="eastAsia" w:ascii="宋体" w:hAnsi="宋体" w:eastAsia="宋体"/>
                <w:b/>
                <w:bCs/>
                <w:kern w:val="0"/>
                <w:sz w:val="21"/>
              </w:rPr>
              <w:t>效益指标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解决农村饮水工程水质存在问题的工程数量</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满意度指标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满意度指标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工程受益群众满意度</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&gt;=90%</w:t>
            </w:r>
          </w:p>
        </w:tc>
      </w:tr>
    </w:tbl>
    <w:p>
      <w:pPr>
        <w:spacing w:before="184" w:line="276" w:lineRule="auto"/>
        <w:ind w:firstLine="205" w:firstLineChars="62"/>
        <w:rPr>
          <w:rFonts w:hint="eastAsia" w:ascii="黑体" w:hAnsi="黑体" w:eastAsia="黑体" w:cs="黑体"/>
          <w:spacing w:val="6"/>
          <w:sz w:val="32"/>
          <w:szCs w:val="32"/>
        </w:rPr>
      </w:pPr>
      <w:r>
        <w:rPr>
          <w:rFonts w:ascii="黑体" w:hAnsi="黑体" w:eastAsia="黑体" w:cs="黑体"/>
          <w:spacing w:val="6"/>
          <w:sz w:val="32"/>
          <w:szCs w:val="32"/>
        </w:rPr>
        <w:t>二、绩效评价情况</w:t>
      </w:r>
    </w:p>
    <w:p>
      <w:pPr>
        <w:spacing w:before="186" w:line="221" w:lineRule="auto"/>
        <w:ind w:firstLine="204" w:firstLineChars="62"/>
        <w:rPr>
          <w:rFonts w:hint="eastAsia"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hint="eastAsia" w:ascii="楷体" w:hAnsi="楷体" w:eastAsia="楷体" w:cs="楷体"/>
          <w:spacing w:val="5"/>
          <w:sz w:val="32"/>
          <w:szCs w:val="32"/>
          <w14:textOutline w14:w="5791" w14:cap="flat" w14:cmpd="sng" w14:algn="ctr">
            <w14:solidFill>
              <w14:srgbClr w14:val="000000"/>
            </w14:solidFill>
            <w14:prstDash w14:val="solid"/>
            <w14:miter w14:val="0"/>
          </w14:textOutline>
        </w:rPr>
        <w:t>（一）评价结论</w:t>
      </w:r>
    </w:p>
    <w:p>
      <w:pPr>
        <w:spacing w:before="186" w:line="600" w:lineRule="exact"/>
        <w:ind w:firstLine="518" w:firstLineChars="162"/>
        <w:jc w:val="both"/>
        <w:rPr>
          <w:rFonts w:ascii="Times New Roman" w:hAnsi="Times New Roman" w:eastAsia="仿宋_GB2312"/>
          <w:sz w:val="32"/>
          <w:szCs w:val="32"/>
        </w:rPr>
      </w:pPr>
      <w:r>
        <w:rPr>
          <w:rFonts w:hint="eastAsia" w:ascii="Times New Roman" w:hAnsi="Times New Roman" w:eastAsia="仿宋_GB2312"/>
          <w:sz w:val="32"/>
          <w:szCs w:val="32"/>
        </w:rPr>
        <w:t>根据</w:t>
      </w:r>
      <w:r>
        <w:rPr>
          <w:rFonts w:hint="eastAsia" w:ascii="Times New Roman" w:hAnsi="Times New Roman" w:eastAsia="仿宋_GB2312"/>
          <w:sz w:val="32"/>
          <w:szCs w:val="32"/>
          <w:lang w:eastAsia="zh-CN"/>
        </w:rPr>
        <w:t>哈密市伊州区水利局</w:t>
      </w:r>
      <w:r>
        <w:rPr>
          <w:rFonts w:hint="eastAsia" w:ascii="Times New Roman" w:hAnsi="Times New Roman" w:eastAsia="仿宋_GB2312"/>
          <w:sz w:val="32"/>
          <w:szCs w:val="32"/>
        </w:rPr>
        <w:t>所提供的项目实施业务资料、问卷调查和访谈反馈结果，并结合本项目绩效评价指标体系及评价标准，评价组对</w:t>
      </w:r>
      <w:r>
        <w:rPr>
          <w:rFonts w:hint="eastAsia" w:ascii="Times New Roman" w:hAnsi="Times New Roman" w:eastAsia="仿宋_GB2312"/>
          <w:sz w:val="32"/>
          <w:szCs w:val="32"/>
          <w:lang w:eastAsia="zh-CN"/>
        </w:rPr>
        <w:t>关于提前下达2024年中央水利发展资金</w:t>
      </w:r>
      <w:r>
        <w:rPr>
          <w:rFonts w:ascii="Times New Roman" w:hAnsi="Times New Roman" w:eastAsia="仿宋_GB2312"/>
          <w:sz w:val="32"/>
          <w:szCs w:val="32"/>
        </w:rPr>
        <w:t>项目进行了独立客观的评价，最终评分结果为</w:t>
      </w:r>
      <w:r>
        <w:rPr>
          <w:rFonts w:hint="eastAsia" w:ascii="Times New Roman" w:hAnsi="Times New Roman" w:eastAsia="仿宋_GB2312"/>
          <w:sz w:val="32"/>
          <w:szCs w:val="32"/>
          <w:lang w:eastAsia="zh-CN"/>
        </w:rPr>
        <w:t>89.36</w:t>
      </w:r>
      <w:r>
        <w:rPr>
          <w:rFonts w:ascii="Times New Roman" w:hAnsi="Times New Roman" w:eastAsia="仿宋_GB2312"/>
          <w:sz w:val="32"/>
          <w:szCs w:val="32"/>
        </w:rPr>
        <w:t xml:space="preserve">分，评价等级为“良”。 </w:t>
      </w:r>
    </w:p>
    <w:p>
      <w:pPr>
        <w:spacing w:before="186" w:line="221" w:lineRule="auto"/>
        <w:ind w:firstLine="204" w:firstLineChars="62"/>
        <w:rPr>
          <w:rFonts w:hint="eastAsia"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（二）预算执行情况</w:t>
      </w:r>
    </w:p>
    <w:p>
      <w:pPr>
        <w:spacing w:before="176" w:line="600" w:lineRule="exact"/>
        <w:ind w:firstLine="540" w:firstLineChars="161"/>
        <w:jc w:val="both"/>
        <w:rPr>
          <w:rFonts w:ascii="Times New Roman" w:hAnsi="Times New Roman" w:eastAsia="仿宋_GB2312" w:cs="Times New Roman"/>
          <w:spacing w:val="8"/>
          <w:sz w:val="32"/>
          <w:szCs w:val="32"/>
        </w:rPr>
      </w:pPr>
      <w:r>
        <w:rPr>
          <w:rFonts w:hint="eastAsia" w:ascii="Times New Roman" w:hAnsi="Times New Roman" w:eastAsia="仿宋_GB2312" w:cs="Times New Roman"/>
          <w:spacing w:val="8"/>
          <w:sz w:val="32"/>
          <w:szCs w:val="32"/>
        </w:rPr>
        <w:t>本项目2024年度资金计划下达金额为2682.50万元，全部为中央转移支付资金。截至2024年12月31日，实际到位资金为2682.50万元，资金到位率为100%。项目资金全部用于山洪灾害防治，农村饮水维修养护，对石城子、沁城等灌区设施进行维修养护，对辖区水库进行维修养护，实施地下水超采治理，截至2024年12月31日，项目实际支付资金为2251.48万元，预算执行率为83.93%。</w:t>
      </w:r>
    </w:p>
    <w:p>
      <w:pPr>
        <w:spacing w:before="176" w:line="222" w:lineRule="auto"/>
        <w:ind w:firstLine="531" w:firstLineChars="161"/>
        <w:rPr>
          <w:rFonts w:hint="eastAsia" w:ascii="楷体" w:hAnsi="楷体" w:eastAsia="楷体" w:cs="楷体"/>
          <w:spacing w:val="5"/>
          <w:sz w:val="32"/>
          <w:szCs w:val="32"/>
          <w14:textOutline w14:w="5791" w14:cap="flat" w14:cmpd="sng" w14:algn="ctr">
            <w14:solidFill>
              <w14:srgbClr w14:val="000000"/>
            </w14:solidFill>
            <w14:prstDash w14:val="solid"/>
            <w14:miter w14:val="0"/>
          </w14:textOutline>
        </w:rPr>
      </w:pPr>
      <w:r>
        <w:rPr>
          <w:rFonts w:ascii="楷体" w:hAnsi="楷体" w:eastAsia="楷体" w:cs="楷体"/>
          <w:spacing w:val="5"/>
          <w:sz w:val="32"/>
          <w:szCs w:val="32"/>
          <w14:textOutline w14:w="5791" w14:cap="flat" w14:cmpd="sng" w14:algn="ctr">
            <w14:solidFill>
              <w14:srgbClr w14:val="000000"/>
            </w14:solidFill>
            <w14:prstDash w14:val="solid"/>
            <w14:miter w14:val="0"/>
          </w14:textOutline>
        </w:rPr>
        <w:t>（三）项目绩效情况</w:t>
      </w:r>
    </w:p>
    <w:p>
      <w:pPr>
        <w:pStyle w:val="26"/>
        <w:ind w:firstLine="640"/>
        <w:rPr>
          <w:rFonts w:cs="仿宋_GB2312"/>
          <w:highlight w:val="none"/>
        </w:rPr>
      </w:pPr>
      <w:r>
        <w:rPr>
          <w:rFonts w:hint="eastAsia" w:cs="仿宋_GB2312"/>
          <w:highlight w:val="none"/>
        </w:rPr>
        <w:t>一是项目决策方面，</w:t>
      </w:r>
      <w:r>
        <w:rPr>
          <w:rFonts w:hint="eastAsia" w:cs="仿宋_GB2312"/>
          <w:highlight w:val="none"/>
          <w:lang w:eastAsia="zh-CN"/>
        </w:rPr>
        <w:t>关于提前下达2024年中央水利发展资金</w:t>
      </w:r>
      <w:r>
        <w:rPr>
          <w:rFonts w:hint="eastAsia" w:cs="仿宋_GB2312"/>
          <w:highlight w:val="none"/>
        </w:rPr>
        <w:t>项目立项依据充分，立项程序规范，项目绩效目标</w:t>
      </w:r>
      <w:r>
        <w:rPr>
          <w:rFonts w:hint="eastAsia" w:cs="仿宋_GB2312"/>
          <w:highlight w:val="none"/>
          <w:lang w:val="en-US" w:eastAsia="zh-CN"/>
        </w:rPr>
        <w:t>设置合理、</w:t>
      </w:r>
      <w:r>
        <w:rPr>
          <w:rFonts w:hint="eastAsia" w:cs="仿宋_GB2312"/>
          <w:highlight w:val="none"/>
        </w:rPr>
        <w:t>预算编制依据充分合理、细化程度较高，资金分配依据充分、分配额度合理。二是项目过程方面，项目资金到位及时且足额，项目资金使用合规。但水利设施设备管理维护制度缺失，设备运行存在风险，项目管理制度健全性与制度执行有效性有待提高。三是项目产出方面，</w:t>
      </w:r>
      <w:r>
        <w:rPr>
          <w:rFonts w:hint="eastAsia"/>
          <w:color w:val="000000" w:themeColor="text1"/>
          <w:highlight w:val="none"/>
          <w:lang w:eastAsia="zh-CN"/>
          <w14:textFill>
            <w14:solidFill>
              <w14:schemeClr w14:val="tx1"/>
            </w14:solidFill>
          </w14:textFill>
        </w:rPr>
        <w:t>山洪灾害防治非工程措施项目，</w:t>
      </w:r>
      <w:r>
        <w:rPr>
          <w:rFonts w:hint="eastAsia"/>
          <w:color w:val="000000" w:themeColor="text1"/>
          <w:highlight w:val="none"/>
          <w:lang w:val="en-US" w:eastAsia="zh-CN"/>
          <w14:textFill>
            <w14:solidFill>
              <w14:schemeClr w14:val="tx1"/>
            </w14:solidFill>
          </w14:textFill>
        </w:rPr>
        <w:t>实施农村饮水维修养护项目，对石城子、沁城等灌区设施进行维修养护，对辖区水库进行维修养护，实施地下水超采治理地表水置换地下水工程</w:t>
      </w:r>
      <w:r>
        <w:rPr>
          <w:rFonts w:hint="eastAsia" w:cs="仿宋_GB2312"/>
          <w:highlight w:val="none"/>
        </w:rPr>
        <w:t>已全部</w:t>
      </w:r>
      <w:r>
        <w:rPr>
          <w:rFonts w:hint="eastAsia"/>
          <w:color w:val="000000" w:themeColor="text1"/>
          <w:highlight w:val="none"/>
          <w:lang w:val="en-US" w:eastAsia="zh-CN"/>
          <w14:textFill>
            <w14:solidFill>
              <w14:schemeClr w14:val="tx1"/>
            </w14:solidFill>
          </w14:textFill>
        </w:rPr>
        <w:t>完成，但工程建设期限与实施方案不符，效益发挥滞后。</w:t>
      </w:r>
      <w:r>
        <w:rPr>
          <w:rFonts w:hint="eastAsia" w:cs="仿宋_GB2312"/>
          <w:highlight w:val="none"/>
        </w:rPr>
        <w:t>四是项目效益方面，</w:t>
      </w:r>
      <w:r>
        <w:rPr>
          <w:rFonts w:hint="eastAsia" w:cs="仿宋_GB2312"/>
          <w:highlight w:val="none"/>
          <w:lang w:val="en-US" w:eastAsia="zh-CN"/>
        </w:rPr>
        <w:t>完成应急预案体系建设，</w:t>
      </w:r>
      <w:r>
        <w:rPr>
          <w:rFonts w:hint="eastAsia"/>
          <w:highlight w:val="none"/>
          <w:lang w:val="en-US" w:eastAsia="zh-CN"/>
        </w:rPr>
        <w:t>有效补全了</w:t>
      </w:r>
      <w:r>
        <w:rPr>
          <w:rFonts w:hint="eastAsia"/>
          <w:highlight w:val="none"/>
        </w:rPr>
        <w:t>山洪防治基层乡村和单位群测群防体系不健全等短板和薄弱环节</w:t>
      </w:r>
      <w:r>
        <w:rPr>
          <w:rFonts w:hint="eastAsia"/>
          <w:highlight w:val="none"/>
          <w:lang w:eastAsia="zh-CN"/>
        </w:rPr>
        <w:t>，</w:t>
      </w:r>
      <w:r>
        <w:rPr>
          <w:rFonts w:hint="eastAsia"/>
          <w:highlight w:val="none"/>
          <w:lang w:val="en-US" w:eastAsia="zh-CN"/>
        </w:rPr>
        <w:t>解决了大泉湾水厂、西郊水厂、骆驼图子水厂、石城子灌区、都鲁克灌区和沁城灌区、16座小型水库设施设备及配件损坏的问题，保障了水利设施正常运行，解决了伊州区东郊草场片区地下水超采问题，项目效益较好</w:t>
      </w:r>
      <w:r>
        <w:rPr>
          <w:rFonts w:hint="eastAsia"/>
          <w:highlight w:val="none"/>
        </w:rPr>
        <w:t>。</w:t>
      </w:r>
    </w:p>
    <w:p>
      <w:pPr>
        <w:spacing w:before="1" w:line="223" w:lineRule="auto"/>
        <w:ind w:firstLine="197" w:firstLineChars="61"/>
        <w:rPr>
          <w:rFonts w:hint="eastAsia" w:ascii="黑体" w:hAnsi="黑体" w:eastAsia="黑体" w:cs="黑体"/>
          <w:spacing w:val="7"/>
          <w:sz w:val="31"/>
          <w:szCs w:val="31"/>
        </w:rPr>
      </w:pPr>
      <w:r>
        <w:rPr>
          <w:rFonts w:ascii="黑体" w:hAnsi="黑体" w:eastAsia="黑体" w:cs="黑体"/>
          <w:spacing w:val="7"/>
          <w:sz w:val="31"/>
          <w:szCs w:val="31"/>
        </w:rPr>
        <w:t>三、经验、问题和建议</w:t>
      </w:r>
    </w:p>
    <w:p>
      <w:pPr>
        <w:spacing w:before="186" w:line="221" w:lineRule="auto"/>
        <w:ind w:firstLine="198" w:firstLineChars="62"/>
        <w:rPr>
          <w:rFonts w:hint="eastAsia"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（一）主要经验及做法</w:t>
      </w:r>
    </w:p>
    <w:p>
      <w:pPr>
        <w:pStyle w:val="26"/>
        <w:ind w:firstLine="643"/>
      </w:pPr>
      <w:r>
        <w:rPr>
          <w:b/>
          <w:bCs/>
        </w:rPr>
        <w:t>1.</w:t>
      </w:r>
      <w:r>
        <w:rPr>
          <w:rFonts w:hint="eastAsia"/>
          <w:b/>
          <w:bCs/>
        </w:rPr>
        <w:t>系统推进地下水超采治理。</w:t>
      </w:r>
      <w:r>
        <w:rPr>
          <w:rFonts w:hint="eastAsia"/>
        </w:rPr>
        <w:t>哈密市伊州区针对地下水管理难题，</w:t>
      </w:r>
      <w:r>
        <w:rPr>
          <w:rFonts w:hint="eastAsia"/>
          <w:lang w:val="en-US" w:eastAsia="zh-CN"/>
        </w:rPr>
        <w:t>对</w:t>
      </w:r>
      <w:r>
        <w:rPr>
          <w:rFonts w:hint="eastAsia"/>
        </w:rPr>
        <w:t>东郊草场片区实施地表水置换地下水工程，新建输水管道 24.246 公里，将石榆总干渠地表水引入农田，</w:t>
      </w:r>
      <w:r>
        <w:rPr>
          <w:rFonts w:hint="eastAsia"/>
          <w:lang w:eastAsia="zh-CN"/>
        </w:rPr>
        <w:t>将地下水全部置换为地表水，</w:t>
      </w:r>
      <w:r>
        <w:rPr>
          <w:rFonts w:hint="eastAsia"/>
        </w:rPr>
        <w:t>减少地下水依赖</w:t>
      </w:r>
      <w:r>
        <w:rPr>
          <w:rFonts w:hint="eastAsia"/>
          <w:lang w:eastAsia="zh-CN"/>
        </w:rPr>
        <w:t>，</w:t>
      </w:r>
      <w:r>
        <w:rPr>
          <w:rFonts w:hint="eastAsia"/>
          <w:lang w:val="en-US" w:eastAsia="zh-CN"/>
        </w:rPr>
        <w:t>解决</w:t>
      </w:r>
      <w:r>
        <w:rPr>
          <w:rFonts w:hint="eastAsia"/>
          <w:lang w:eastAsia="zh-CN"/>
        </w:rPr>
        <w:t>东郊草场片区地下水超采</w:t>
      </w:r>
      <w:r>
        <w:rPr>
          <w:rFonts w:hint="eastAsia"/>
          <w:lang w:val="en-US" w:eastAsia="zh-CN"/>
        </w:rPr>
        <w:t>问题</w:t>
      </w:r>
      <w:r>
        <w:rPr>
          <w:rFonts w:hint="eastAsia"/>
        </w:rPr>
        <w:t>。</w:t>
      </w:r>
    </w:p>
    <w:p>
      <w:pPr>
        <w:pStyle w:val="26"/>
        <w:ind w:firstLine="643"/>
        <w:rPr>
          <w:rFonts w:hint="default" w:eastAsia="仿宋_GB2312"/>
          <w:lang w:val="en-US" w:eastAsia="zh-CN"/>
        </w:rPr>
      </w:pPr>
      <w:r>
        <w:rPr>
          <w:rFonts w:hint="eastAsia"/>
          <w:b/>
          <w:bCs/>
        </w:rPr>
        <w:t>2</w:t>
      </w:r>
      <w:r>
        <w:rPr>
          <w:b/>
          <w:bCs/>
        </w:rPr>
        <w:t>.</w:t>
      </w:r>
      <w:r>
        <w:rPr>
          <w:rFonts w:hint="eastAsia"/>
          <w:b/>
          <w:bCs/>
          <w:lang w:val="en-US" w:eastAsia="zh-CN"/>
        </w:rPr>
        <w:t>进一步加强水利设施</w:t>
      </w:r>
      <w:r>
        <w:rPr>
          <w:rFonts w:hint="eastAsia"/>
          <w:b/>
          <w:bCs/>
        </w:rPr>
        <w:t>养护。</w:t>
      </w:r>
      <w:r>
        <w:rPr>
          <w:rFonts w:hint="eastAsia"/>
        </w:rPr>
        <w:t>哈密市伊州区</w:t>
      </w:r>
      <w:r>
        <w:rPr>
          <w:rFonts w:hint="eastAsia"/>
          <w:lang w:val="en-US" w:eastAsia="zh-CN"/>
        </w:rPr>
        <w:t>2024年对</w:t>
      </w:r>
      <w:r>
        <w:rPr>
          <w:rFonts w:hint="eastAsia"/>
        </w:rPr>
        <w:t>15处供水工程出现损坏</w:t>
      </w:r>
      <w:r>
        <w:rPr>
          <w:rFonts w:hint="eastAsia"/>
          <w:lang w:val="en-US" w:eastAsia="zh-CN"/>
        </w:rPr>
        <w:t>的</w:t>
      </w:r>
      <w:r>
        <w:rPr>
          <w:rFonts w:hint="eastAsia"/>
        </w:rPr>
        <w:t>供水设备及元配件、供水管材管件</w:t>
      </w:r>
      <w:r>
        <w:rPr>
          <w:rFonts w:hint="eastAsia"/>
          <w:lang w:val="en-US" w:eastAsia="zh-CN"/>
        </w:rPr>
        <w:t>进行更新维修，对乌拉台水库等16座小型水库大坝护坡裂缝、沉降等问题进行维修养护，对石城子渠灌区、都鲁克灌区和沁城灌区渠首、骨干渠道、等计量设施及闸门的维修养护，通过以上措施，有效保障了伊州区水利设施正常运行，为伊州区水利改革发展提供了有效支撑。</w:t>
      </w:r>
    </w:p>
    <w:p>
      <w:pPr>
        <w:spacing w:before="186" w:line="221" w:lineRule="auto"/>
        <w:ind w:firstLine="198" w:firstLineChars="62"/>
        <w:rPr>
          <w:rFonts w:hint="eastAsia"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（二）存在问题与不足</w:t>
      </w:r>
    </w:p>
    <w:p>
      <w:pPr>
        <w:pStyle w:val="26"/>
        <w:ind w:firstLine="643"/>
        <w:rPr>
          <w:rFonts w:hint="eastAsia"/>
          <w:highlight w:val="none"/>
          <w:lang w:val="en-US" w:eastAsia="zh-CN"/>
        </w:rPr>
      </w:pPr>
      <w:r>
        <w:rPr>
          <w:rFonts w:hint="eastAsia"/>
          <w:b/>
          <w:bCs/>
          <w:lang w:val="en-US" w:eastAsia="zh-CN"/>
        </w:rPr>
        <w:t>1</w:t>
      </w:r>
      <w:r>
        <w:rPr>
          <w:b/>
          <w:bCs/>
        </w:rPr>
        <w:t>.</w:t>
      </w:r>
      <w:r>
        <w:rPr>
          <w:rFonts w:hint="eastAsia"/>
          <w:b/>
          <w:bCs/>
          <w:lang w:val="en-US" w:eastAsia="zh-CN"/>
        </w:rPr>
        <w:t>工程建设期限与实施方案不符，效益发挥滞后</w:t>
      </w:r>
      <w:r>
        <w:rPr>
          <w:rFonts w:hint="eastAsia"/>
          <w:b/>
          <w:bCs/>
        </w:rPr>
        <w:t>。</w:t>
      </w:r>
      <w:r>
        <w:rPr>
          <w:rFonts w:hint="eastAsia"/>
          <w:lang w:eastAsia="zh-CN"/>
        </w:rPr>
        <w:t>根据哈密市水利局批复的各项目实施方案，发改部门批复的初步设计及验收报告等资料显示，农村饮用水工程维修养护规划开工时间为2024年3月20日，实际开工时间2024年6月1日。农业水价综合改革维修养护规划开工时间为2024年4月1日，实际开工时间2024年5月10日。小型水库维修养护规划开工时间为2024年3月20日，实际开工时间2024年4月25日，</w:t>
      </w:r>
      <w:r>
        <w:rPr>
          <w:rFonts w:hint="eastAsia"/>
          <w:lang w:val="en-US" w:eastAsia="zh-CN"/>
        </w:rPr>
        <w:t>以上</w:t>
      </w:r>
      <w:r>
        <w:rPr>
          <w:rFonts w:hint="eastAsia"/>
          <w:highlight w:val="none"/>
          <w:lang w:val="en-US" w:eastAsia="zh-CN"/>
        </w:rPr>
        <w:t>3个项目实际开工时间与规划不符。</w:t>
      </w:r>
    </w:p>
    <w:p>
      <w:pPr>
        <w:pStyle w:val="26"/>
        <w:ind w:firstLine="643"/>
        <w:rPr>
          <w:rFonts w:hint="eastAsia"/>
          <w:highlight w:val="none"/>
          <w:lang w:val="en-US" w:eastAsia="zh-CN"/>
        </w:rPr>
      </w:pPr>
      <w:r>
        <w:rPr>
          <w:rFonts w:hint="eastAsia"/>
          <w:highlight w:val="none"/>
          <w:lang w:val="en-US" w:eastAsia="zh-CN"/>
        </w:rPr>
        <w:t>山洪灾害防治非工程措施规划完工日期为2024年5月30日，实际完工日期为2024年7月10日。农村饮用水工程维修养护规划完工日期为2024年6月20日，实际完工日期2024年7月30日。小型水库维修养护规划完工日期为2024年6月20日，实际完工日期2024年8月9日。上述3个项目实际完工时间滞后与规划不符。</w:t>
      </w:r>
    </w:p>
    <w:p>
      <w:pPr>
        <w:pStyle w:val="26"/>
        <w:ind w:firstLine="643"/>
        <w:rPr>
          <w:rFonts w:hint="default"/>
          <w:highlight w:val="none"/>
          <w:lang w:val="en-US" w:eastAsia="zh-CN"/>
        </w:rPr>
      </w:pPr>
      <w:r>
        <w:rPr>
          <w:rFonts w:hint="eastAsia"/>
          <w:b/>
          <w:bCs/>
          <w:lang w:val="en-US" w:eastAsia="zh-CN"/>
        </w:rPr>
        <w:t>2</w:t>
      </w:r>
      <w:r>
        <w:rPr>
          <w:b/>
          <w:bCs/>
        </w:rPr>
        <w:t>.</w:t>
      </w:r>
      <w:r>
        <w:rPr>
          <w:rFonts w:hint="eastAsia"/>
          <w:b/>
          <w:bCs/>
          <w:lang w:val="en-US" w:eastAsia="zh-CN"/>
        </w:rPr>
        <w:t>水利设施设备管理维护制度缺失，设备运行存在风险</w:t>
      </w:r>
      <w:r>
        <w:rPr>
          <w:rFonts w:hint="eastAsia"/>
          <w:b/>
          <w:bCs/>
        </w:rPr>
        <w:t>。</w:t>
      </w:r>
      <w:r>
        <w:rPr>
          <w:rFonts w:hint="eastAsia"/>
          <w:lang w:val="en-US" w:eastAsia="zh-CN"/>
        </w:rPr>
        <w:t>项目相关单位</w:t>
      </w:r>
      <w:r>
        <w:rPr>
          <w:rFonts w:hint="eastAsia"/>
          <w:lang w:eastAsia="zh-CN"/>
        </w:rPr>
        <w:t>水利设施设备管理维护制度</w:t>
      </w:r>
      <w:r>
        <w:rPr>
          <w:rFonts w:hint="eastAsia"/>
          <w:lang w:val="en-US" w:eastAsia="zh-CN"/>
        </w:rPr>
        <w:t>不健全</w:t>
      </w:r>
      <w:r>
        <w:rPr>
          <w:rFonts w:hint="eastAsia"/>
          <w:lang w:eastAsia="zh-CN"/>
        </w:rPr>
        <w:t>，设施设备在运行、养护、应急等环节缺乏规范指引，易引发安全风险、功能衰减等问题</w:t>
      </w:r>
      <w:r>
        <w:rPr>
          <w:rFonts w:hint="eastAsia"/>
          <w:highlight w:val="none"/>
          <w:lang w:val="en-US" w:eastAsia="zh-CN"/>
        </w:rPr>
        <w:t>。具体表现为一是设施设备老化加速，功能衰减风险突出，如水库闸门、泵站机组、灌溉渠道、监测仪器等长期处于露天、潮湿或高负荷运行环境，若缺乏定期维护标准，易出现锈蚀、部件磨损、线路老化等问题。二是缺乏制度规范的“定期检查-隐患整改-责任追溯”流程，容易存在安全隐患，突发事故应对被动，三是因无明确的责任分工制度，设施设备的巡检、养护、维修工作未及时开展，降低水利工程的综合效益。</w:t>
      </w:r>
    </w:p>
    <w:p>
      <w:pPr>
        <w:spacing w:before="186" w:line="221" w:lineRule="auto"/>
        <w:ind w:firstLine="198" w:firstLineChars="62"/>
        <w:rPr>
          <w:rFonts w:hint="eastAsia"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（三）建议和改进措施</w:t>
      </w:r>
    </w:p>
    <w:p>
      <w:pPr>
        <w:pStyle w:val="26"/>
        <w:ind w:firstLine="643"/>
        <w:rPr>
          <w:rFonts w:hint="eastAsia"/>
        </w:rPr>
      </w:pPr>
      <w:r>
        <w:rPr>
          <w:rFonts w:hint="eastAsia"/>
          <w:b/>
          <w:bCs/>
          <w:lang w:val="en-US" w:eastAsia="zh-CN"/>
        </w:rPr>
        <w:t>1</w:t>
      </w:r>
      <w:r>
        <w:rPr>
          <w:b/>
          <w:bCs/>
        </w:rPr>
        <w:t>.</w:t>
      </w:r>
      <w:r>
        <w:rPr>
          <w:rFonts w:hint="eastAsia"/>
          <w:b/>
          <w:bCs/>
        </w:rPr>
        <w:t>积极落实</w:t>
      </w:r>
      <w:r>
        <w:rPr>
          <w:rFonts w:hint="eastAsia"/>
          <w:b/>
          <w:bCs/>
          <w:lang w:val="en-US" w:eastAsia="zh-CN"/>
        </w:rPr>
        <w:t>前期</w:t>
      </w:r>
      <w:r>
        <w:rPr>
          <w:rFonts w:hint="eastAsia"/>
          <w:b/>
          <w:bCs/>
        </w:rPr>
        <w:t>各项规划，保障</w:t>
      </w:r>
      <w:r>
        <w:rPr>
          <w:rFonts w:hint="eastAsia"/>
          <w:b/>
          <w:bCs/>
          <w:lang w:val="en-US" w:eastAsia="zh-CN"/>
        </w:rPr>
        <w:t>项目</w:t>
      </w:r>
      <w:r>
        <w:rPr>
          <w:rFonts w:hint="eastAsia"/>
          <w:b/>
          <w:bCs/>
        </w:rPr>
        <w:t>按计划完成。</w:t>
      </w:r>
      <w:r>
        <w:rPr>
          <w:rFonts w:hint="eastAsia"/>
          <w:lang w:val="en-US" w:eastAsia="zh-CN"/>
        </w:rPr>
        <w:t>一是制定详细的任务计划及时间表，包括时间、地点、参与人员、预算等各个方面，确保每个阶段都有明确的完成时间。二是明确责任及任务分配，将工程建设前期各项手续、工程建设实施阶段分解为具体可执行的任务，并分配给相关执行人员。三是建立有效的沟通机制，确保相关成员之间信息畅通，及时了解任务进展和遇到的问题。四是风险管理，在工程建设阶段，识别可能影响工程按计划完成的潜在风险，对潜在风险制定具体的应对措施和预案，当风险发生时能及时有效解决，以确保工程按计划完成，及时发挥效益</w:t>
      </w:r>
      <w:r>
        <w:rPr>
          <w:rFonts w:hint="eastAsia"/>
        </w:rPr>
        <w:t>。</w:t>
      </w:r>
    </w:p>
    <w:p>
      <w:pPr>
        <w:pStyle w:val="26"/>
        <w:ind w:firstLine="643"/>
        <w:rPr>
          <w:rFonts w:hint="default"/>
          <w:lang w:val="en-US"/>
        </w:rPr>
      </w:pPr>
      <w:r>
        <w:rPr>
          <w:rFonts w:hint="eastAsia"/>
          <w:b/>
          <w:bCs/>
          <w:lang w:val="en-US" w:eastAsia="zh-CN"/>
        </w:rPr>
        <w:t>2</w:t>
      </w:r>
      <w:r>
        <w:rPr>
          <w:b/>
          <w:bCs/>
        </w:rPr>
        <w:t>.</w:t>
      </w:r>
      <w:r>
        <w:rPr>
          <w:rFonts w:hint="eastAsia"/>
          <w:b/>
          <w:bCs/>
          <w:lang w:val="en-US" w:eastAsia="zh-CN"/>
        </w:rPr>
        <w:t>建立健全分级分类管理制度，保障水利工程的综合效益</w:t>
      </w:r>
      <w:r>
        <w:rPr>
          <w:rFonts w:hint="eastAsia"/>
          <w:b/>
          <w:bCs/>
        </w:rPr>
        <w:t>。</w:t>
      </w:r>
      <w:r>
        <w:rPr>
          <w:rFonts w:hint="eastAsia"/>
          <w:lang w:val="en-US" w:eastAsia="zh-CN"/>
        </w:rPr>
        <w:t>一是参照行业规范，按设施类型制定分级分类的管理制度，明确维护标准与周期。二是建立“一套一档”的设备档案制度，为每台（套）关键设备，如泵站机组、监测传感器，建立电子档案，记录出厂参数、安装时间、历次维护记录（含更换部件、故障原因）、检测报告等，通过二维码或物联网系统实现扫码查档案，为养护提供数据支撑。三是明确水利部门，设施使用部门，管理人员三级责任体系，落实责任到岗到人的管理机制，强化流程闭环。四是建立监督考核与奖惩制度，定期对设施使用部门隐患整改完成率、设备完好率、应急响应及时率等维护情况进行考核，确保制度落地，保障水利设施持续安全稳定运行，延长使用寿命，提升水资源管理与保护水平。</w:t>
      </w:r>
    </w:p>
    <w:p>
      <w:pPr>
        <w:spacing w:before="176" w:line="222" w:lineRule="auto"/>
        <w:ind w:firstLine="198" w:firstLineChars="61"/>
        <w:rPr>
          <w:rFonts w:hint="eastAsia" w:ascii="仿宋" w:hAnsi="仿宋" w:eastAsia="仿宋" w:cs="仿宋"/>
          <w:spacing w:val="8"/>
          <w:sz w:val="31"/>
          <w:szCs w:val="31"/>
          <w:highlight w:val="yellow"/>
        </w:rPr>
        <w:sectPr>
          <w:headerReference r:id="rId7" w:type="first"/>
          <w:footerReference r:id="rId10" w:type="first"/>
          <w:headerReference r:id="rId5" w:type="default"/>
          <w:footerReference r:id="rId8" w:type="default"/>
          <w:headerReference r:id="rId6" w:type="even"/>
          <w:footerReference r:id="rId9" w:type="even"/>
          <w:pgSz w:w="11907" w:h="16839"/>
          <w:pgMar w:top="1431" w:right="1785" w:bottom="1531" w:left="1785" w:header="0" w:footer="1354" w:gutter="0"/>
          <w:cols w:space="720" w:num="1"/>
        </w:sectPr>
      </w:pPr>
    </w:p>
    <w:sdt>
      <w:sdtPr>
        <w:rPr>
          <w:rFonts w:asciiTheme="minorHAnsi" w:hAnsiTheme="minorHAnsi" w:eastAsiaTheme="minorEastAsia" w:cstheme="minorBidi"/>
          <w:color w:val="auto"/>
          <w:kern w:val="2"/>
          <w:sz w:val="21"/>
          <w:szCs w:val="21"/>
          <w:lang w:val="zh-CN"/>
        </w:rPr>
        <w:id w:val="1322844121"/>
        <w:docPartObj>
          <w:docPartGallery w:val="Table of Contents"/>
          <w:docPartUnique/>
        </w:docPartObj>
      </w:sdtPr>
      <w:sdtEndPr>
        <w:rPr>
          <w:rFonts w:asciiTheme="minorHAnsi" w:hAnsiTheme="minorHAnsi" w:eastAsiaTheme="minorEastAsia" w:cstheme="minorBidi"/>
          <w:b/>
          <w:bCs/>
          <w:color w:val="auto"/>
          <w:kern w:val="2"/>
          <w:sz w:val="21"/>
          <w:szCs w:val="21"/>
          <w:lang w:val="zh-CN"/>
        </w:rPr>
      </w:sdtEndPr>
      <w:sdtContent>
        <w:p>
          <w:pPr>
            <w:pStyle w:val="46"/>
            <w:ind w:firstLine="420"/>
            <w:jc w:val="center"/>
            <w:rPr>
              <w:rFonts w:hint="eastAsia" w:ascii="黑体" w:hAnsi="黑体" w:eastAsia="黑体"/>
              <w:color w:val="auto"/>
            </w:rPr>
          </w:pPr>
          <w:r>
            <w:rPr>
              <w:rFonts w:ascii="黑体" w:hAnsi="黑体" w:eastAsia="黑体"/>
              <w:b/>
              <w:bCs/>
              <w:color w:val="auto"/>
              <w:sz w:val="44"/>
              <w:szCs w:val="44"/>
              <w:lang w:val="zh-CN"/>
            </w:rPr>
            <w:t>目录</w:t>
          </w:r>
        </w:p>
        <w:p>
          <w:pPr>
            <w:pStyle w:val="11"/>
            <w:rPr>
              <w:rFonts w:hint="eastAsia" w:asciiTheme="minorHAnsi" w:eastAsiaTheme="minorEastAsia" w:cstheme="minorBidi"/>
              <w:b w:val="0"/>
              <w:kern w:val="2"/>
              <w:sz w:val="21"/>
              <w:szCs w:val="22"/>
            </w:rPr>
          </w:pPr>
          <w:r>
            <w:fldChar w:fldCharType="begin"/>
          </w:r>
          <w:r>
            <w:instrText xml:space="preserve">TOC \o "1-3" \h \z \u</w:instrText>
          </w:r>
          <w:r>
            <w:fldChar w:fldCharType="separate"/>
          </w:r>
          <w:r>
            <w:fldChar w:fldCharType="begin"/>
          </w:r>
          <w:r>
            <w:instrText xml:space="preserve"> HYPERLINK \l "_Toc172283508" </w:instrText>
          </w:r>
          <w:r>
            <w:fldChar w:fldCharType="separate"/>
          </w:r>
          <w:r>
            <w:rPr>
              <w:rStyle w:val="16"/>
            </w:rPr>
            <w:t>一、项目基本情况</w:t>
          </w:r>
          <w:r>
            <w:tab/>
          </w:r>
          <w:r>
            <w:fldChar w:fldCharType="begin"/>
          </w:r>
          <w:r>
            <w:instrText xml:space="preserve"> PAGEREF _Toc172283508 \h </w:instrText>
          </w:r>
          <w:r>
            <w:fldChar w:fldCharType="separate"/>
          </w:r>
          <w:r>
            <w:t>1</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"_Toc172283509" </w:instrText>
          </w:r>
          <w:r>
            <w:fldChar w:fldCharType="separate"/>
          </w:r>
          <w:r>
            <w:rPr>
              <w:rStyle w:val="16"/>
              <w:b/>
            </w:rPr>
            <w:t>（一）项目概况</w:t>
          </w:r>
          <w:r>
            <w:tab/>
          </w:r>
          <w:r>
            <w:fldChar w:fldCharType="begin"/>
          </w:r>
          <w:r>
            <w:instrText xml:space="preserve"> PAGEREF _Toc172283509 \h </w:instrText>
          </w:r>
          <w:r>
            <w:fldChar w:fldCharType="separate"/>
          </w:r>
          <w:r>
            <w:t>1</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"_Toc172283510" </w:instrText>
          </w:r>
          <w:r>
            <w:fldChar w:fldCharType="separate"/>
          </w:r>
          <w:r>
            <w:rPr>
              <w:rStyle w:val="16"/>
              <w:b/>
            </w:rPr>
            <w:t>（二）项目绩效目标</w:t>
          </w:r>
          <w:r>
            <w:tab/>
          </w:r>
          <w:r>
            <w:fldChar w:fldCharType="begin"/>
          </w:r>
          <w:r>
            <w:instrText xml:space="preserve"> PAGEREF _Toc172283510 \h </w:instrText>
          </w:r>
          <w:r>
            <w:fldChar w:fldCharType="separate"/>
          </w:r>
          <w:r>
            <w:t>5</w:t>
          </w:r>
          <w:r>
            <w:fldChar w:fldCharType="end"/>
          </w:r>
          <w:r>
            <w:fldChar w:fldCharType="end"/>
          </w:r>
        </w:p>
        <w:p>
          <w:pPr>
            <w:pStyle w:val="11"/>
            <w:rPr>
              <w:rFonts w:hint="eastAsia" w:asciiTheme="minorHAnsi" w:eastAsiaTheme="minorEastAsia" w:cstheme="minorBidi"/>
              <w:b w:val="0"/>
              <w:kern w:val="2"/>
              <w:sz w:val="21"/>
              <w:szCs w:val="22"/>
            </w:rPr>
          </w:pPr>
          <w:r>
            <w:fldChar w:fldCharType="begin"/>
          </w:r>
          <w:r>
            <w:instrText xml:space="preserve"> HYPERLINK \l "_Toc172283511" </w:instrText>
          </w:r>
          <w:r>
            <w:fldChar w:fldCharType="separate"/>
          </w:r>
          <w:r>
            <w:rPr>
              <w:rStyle w:val="16"/>
            </w:rPr>
            <w:t>二、绩效评价工作开展情况</w:t>
          </w:r>
          <w:r>
            <w:tab/>
          </w:r>
          <w:r>
            <w:fldChar w:fldCharType="begin"/>
          </w:r>
          <w:r>
            <w:instrText xml:space="preserve"> PAGEREF _Toc172283511 \h </w:instrText>
          </w:r>
          <w:r>
            <w:fldChar w:fldCharType="separate"/>
          </w:r>
          <w:r>
            <w:t>6</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"_Toc172283512" </w:instrText>
          </w:r>
          <w:r>
            <w:fldChar w:fldCharType="separate"/>
          </w:r>
          <w:r>
            <w:rPr>
              <w:rStyle w:val="16"/>
              <w:b/>
            </w:rPr>
            <w:t>（一）绩效评价的目的、对象和范围</w:t>
          </w:r>
          <w:r>
            <w:tab/>
          </w:r>
          <w:r>
            <w:fldChar w:fldCharType="begin"/>
          </w:r>
          <w:r>
            <w:instrText xml:space="preserve"> PAGEREF _Toc172283512 \h </w:instrText>
          </w:r>
          <w:r>
            <w:fldChar w:fldCharType="separate"/>
          </w:r>
          <w:r>
            <w:t>6</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"_Toc172283513" </w:instrText>
          </w:r>
          <w:r>
            <w:fldChar w:fldCharType="separate"/>
          </w:r>
          <w:r>
            <w:rPr>
              <w:rStyle w:val="16"/>
              <w:b/>
            </w:rPr>
            <w:t>（二）绩效评价原则、评价指标体系、评价方法</w:t>
          </w:r>
          <w:r>
            <w:tab/>
          </w:r>
          <w:r>
            <w:fldChar w:fldCharType="begin"/>
          </w:r>
          <w:r>
            <w:instrText xml:space="preserve"> PAGEREF _Toc172283513 \h </w:instrText>
          </w:r>
          <w:r>
            <w:fldChar w:fldCharType="separate"/>
          </w:r>
          <w:r>
            <w:t>8</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"_Toc172283514" </w:instrText>
          </w:r>
          <w:r>
            <w:fldChar w:fldCharType="separate"/>
          </w:r>
          <w:r>
            <w:rPr>
              <w:rStyle w:val="16"/>
              <w:b/>
            </w:rPr>
            <w:t>（三）绩效评价工作过程</w:t>
          </w:r>
          <w:r>
            <w:tab/>
          </w:r>
          <w:r>
            <w:fldChar w:fldCharType="begin"/>
          </w:r>
          <w:r>
            <w:instrText xml:space="preserve"> PAGEREF _Toc172283514 \h </w:instrText>
          </w:r>
          <w:r>
            <w:fldChar w:fldCharType="separate"/>
          </w:r>
          <w:r>
            <w:t>10</w:t>
          </w:r>
          <w:r>
            <w:fldChar w:fldCharType="end"/>
          </w:r>
          <w:r>
            <w:fldChar w:fldCharType="end"/>
          </w:r>
        </w:p>
        <w:p>
          <w:pPr>
            <w:pStyle w:val="11"/>
            <w:rPr>
              <w:rFonts w:hint="eastAsia" w:asciiTheme="minorHAnsi" w:eastAsiaTheme="minorEastAsia" w:cstheme="minorBidi"/>
              <w:b w:val="0"/>
              <w:kern w:val="2"/>
              <w:sz w:val="21"/>
              <w:szCs w:val="22"/>
            </w:rPr>
          </w:pPr>
          <w:r>
            <w:fldChar w:fldCharType="begin"/>
          </w:r>
          <w:r>
            <w:instrText xml:space="preserve"> HYPERLINK \l "_Toc172283515" </w:instrText>
          </w:r>
          <w:r>
            <w:fldChar w:fldCharType="separate"/>
          </w:r>
          <w:r>
            <w:rPr>
              <w:rStyle w:val="16"/>
            </w:rPr>
            <w:t>三、综合评价情况及评价结论</w:t>
          </w:r>
          <w:r>
            <w:tab/>
          </w:r>
          <w:r>
            <w:fldChar w:fldCharType="begin"/>
          </w:r>
          <w:r>
            <w:instrText xml:space="preserve"> PAGEREF _Toc172283515 \h </w:instrText>
          </w:r>
          <w:r>
            <w:fldChar w:fldCharType="separate"/>
          </w:r>
          <w:r>
            <w:t>10</w:t>
          </w:r>
          <w:r>
            <w:fldChar w:fldCharType="end"/>
          </w:r>
          <w:r>
            <w:fldChar w:fldCharType="end"/>
          </w:r>
        </w:p>
        <w:p>
          <w:pPr>
            <w:pStyle w:val="11"/>
            <w:rPr>
              <w:rFonts w:hint="eastAsia" w:asciiTheme="minorHAnsi" w:eastAsiaTheme="minorEastAsia" w:cstheme="minorBidi"/>
              <w:b w:val="0"/>
              <w:kern w:val="2"/>
              <w:sz w:val="21"/>
              <w:szCs w:val="22"/>
            </w:rPr>
          </w:pPr>
          <w:r>
            <w:fldChar w:fldCharType="begin"/>
          </w:r>
          <w:r>
            <w:instrText xml:space="preserve"> HYPERLINK \l "_Toc172283516" </w:instrText>
          </w:r>
          <w:r>
            <w:fldChar w:fldCharType="separate"/>
          </w:r>
          <w:r>
            <w:rPr>
              <w:rStyle w:val="16"/>
            </w:rPr>
            <w:t>四、绩效评价指标分析</w:t>
          </w:r>
          <w:r>
            <w:tab/>
          </w:r>
          <w:r>
            <w:fldChar w:fldCharType="begin"/>
          </w:r>
          <w:r>
            <w:instrText xml:space="preserve"> PAGEREF _Toc172283516 \h </w:instrText>
          </w:r>
          <w:r>
            <w:fldChar w:fldCharType="separate"/>
          </w:r>
          <w:r>
            <w:t>14</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"_Toc172283517" </w:instrText>
          </w:r>
          <w:r>
            <w:fldChar w:fldCharType="separate"/>
          </w:r>
          <w:r>
            <w:rPr>
              <w:rStyle w:val="16"/>
              <w:b/>
            </w:rPr>
            <w:t>（一）项目决策情况</w:t>
          </w:r>
          <w:r>
            <w:tab/>
          </w:r>
          <w:r>
            <w:fldChar w:fldCharType="begin"/>
          </w:r>
          <w:r>
            <w:instrText xml:space="preserve"> PAGEREF _Toc172283517 \h </w:instrText>
          </w:r>
          <w:r>
            <w:fldChar w:fldCharType="separate"/>
          </w:r>
          <w:r>
            <w:t>14</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"_Toc172283518" </w:instrText>
          </w:r>
          <w:r>
            <w:fldChar w:fldCharType="separate"/>
          </w:r>
          <w:r>
            <w:rPr>
              <w:rStyle w:val="16"/>
              <w:b/>
            </w:rPr>
            <w:t>（二）项目过程情况</w:t>
          </w:r>
          <w:r>
            <w:tab/>
          </w:r>
          <w:r>
            <w:fldChar w:fldCharType="begin"/>
          </w:r>
          <w:r>
            <w:instrText xml:space="preserve"> PAGEREF _Toc172283518 \h </w:instrText>
          </w:r>
          <w:r>
            <w:fldChar w:fldCharType="separate"/>
          </w:r>
          <w:r>
            <w:t>17</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"_Toc172283519" </w:instrText>
          </w:r>
          <w:r>
            <w:fldChar w:fldCharType="separate"/>
          </w:r>
          <w:r>
            <w:rPr>
              <w:rStyle w:val="16"/>
              <w:b/>
            </w:rPr>
            <w:t>（三）项目产出情况</w:t>
          </w:r>
          <w:r>
            <w:tab/>
          </w:r>
          <w:r>
            <w:fldChar w:fldCharType="begin"/>
          </w:r>
          <w:r>
            <w:instrText xml:space="preserve"> PAGEREF _Toc172283519 \h </w:instrText>
          </w:r>
          <w:r>
            <w:fldChar w:fldCharType="separate"/>
          </w:r>
          <w:r>
            <w:t>19</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"_Toc172283520" </w:instrText>
          </w:r>
          <w:r>
            <w:fldChar w:fldCharType="separate"/>
          </w:r>
          <w:r>
            <w:rPr>
              <w:rStyle w:val="16"/>
              <w:b/>
            </w:rPr>
            <w:t>（四）项目效益情况</w:t>
          </w:r>
          <w:r>
            <w:tab/>
          </w:r>
          <w:r>
            <w:fldChar w:fldCharType="begin"/>
          </w:r>
          <w:r>
            <w:instrText xml:space="preserve"> PAGEREF _Toc172283520 \h </w:instrText>
          </w:r>
          <w:r>
            <w:fldChar w:fldCharType="separate"/>
          </w:r>
          <w:r>
            <w:t>24</w:t>
          </w:r>
          <w:r>
            <w:fldChar w:fldCharType="end"/>
          </w:r>
          <w:r>
            <w:fldChar w:fldCharType="end"/>
          </w:r>
        </w:p>
        <w:p>
          <w:pPr>
            <w:pStyle w:val="11"/>
            <w:rPr>
              <w:rFonts w:hint="eastAsia" w:asciiTheme="minorHAnsi" w:eastAsiaTheme="minorEastAsia" w:cstheme="minorBidi"/>
              <w:b w:val="0"/>
              <w:kern w:val="2"/>
              <w:sz w:val="21"/>
              <w:szCs w:val="22"/>
            </w:rPr>
          </w:pPr>
          <w:r>
            <w:fldChar w:fldCharType="begin"/>
          </w:r>
          <w:r>
            <w:instrText xml:space="preserve"> HYPERLINK \l "_Toc172283521" </w:instrText>
          </w:r>
          <w:r>
            <w:fldChar w:fldCharType="separate"/>
          </w:r>
          <w:r>
            <w:rPr>
              <w:rStyle w:val="16"/>
            </w:rPr>
            <w:t>五、主要经验及做法、存在的问题及建议</w:t>
          </w:r>
          <w:r>
            <w:tab/>
          </w:r>
          <w:r>
            <w:fldChar w:fldCharType="begin"/>
          </w:r>
          <w:r>
            <w:instrText xml:space="preserve"> PAGEREF _Toc172283521 \h </w:instrText>
          </w:r>
          <w:r>
            <w:fldChar w:fldCharType="separate"/>
          </w:r>
          <w:r>
            <w:t>27</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"_Toc172283522" </w:instrText>
          </w:r>
          <w:r>
            <w:fldChar w:fldCharType="separate"/>
          </w:r>
          <w:r>
            <w:rPr>
              <w:rStyle w:val="16"/>
              <w:b/>
            </w:rPr>
            <w:t>（一）主要经验及做法</w:t>
          </w:r>
          <w:r>
            <w:tab/>
          </w:r>
          <w:r>
            <w:fldChar w:fldCharType="begin"/>
          </w:r>
          <w:r>
            <w:instrText xml:space="preserve"> PAGEREF _Toc172283522 \h </w:instrText>
          </w:r>
          <w:r>
            <w:fldChar w:fldCharType="separate"/>
          </w:r>
          <w:r>
            <w:t>27</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"_Toc172283523" </w:instrText>
          </w:r>
          <w:r>
            <w:fldChar w:fldCharType="separate"/>
          </w:r>
          <w:r>
            <w:rPr>
              <w:rStyle w:val="16"/>
              <w:b/>
            </w:rPr>
            <w:t>（二）存在的问题</w:t>
          </w:r>
          <w:r>
            <w:tab/>
          </w:r>
          <w:r>
            <w:fldChar w:fldCharType="begin"/>
          </w:r>
          <w:r>
            <w:instrText xml:space="preserve"> PAGEREF _Toc172283523 \h </w:instrText>
          </w:r>
          <w:r>
            <w:fldChar w:fldCharType="separate"/>
          </w:r>
          <w:r>
            <w:t>28</w:t>
          </w:r>
          <w:r>
            <w:fldChar w:fldCharType="end"/>
          </w:r>
          <w:r>
            <w:fldChar w:fldCharType="end"/>
          </w:r>
        </w:p>
        <w:p>
          <w:pPr>
            <w:pStyle w:val="6"/>
            <w:rPr>
              <w:rFonts w:hint="eastAsia" w:asciiTheme="minorHAnsi" w:eastAsiaTheme="minorEastAsia" w:cstheme="minorBidi"/>
              <w:spacing w:val="0"/>
              <w:sz w:val="21"/>
              <w:szCs w:val="22"/>
            </w:rPr>
          </w:pPr>
          <w:r>
            <w:fldChar w:fldCharType="begin"/>
          </w:r>
          <w:r>
            <w:instrText xml:space="preserve"> HYPERLINK \l "_Toc172283524" </w:instrText>
          </w:r>
          <w:r>
            <w:fldChar w:fldCharType="separate"/>
          </w:r>
          <w:r>
            <w:rPr>
              <w:rStyle w:val="16"/>
              <w:b/>
            </w:rPr>
            <w:t>（三）相关建议</w:t>
          </w:r>
          <w:r>
            <w:tab/>
          </w:r>
          <w:r>
            <w:fldChar w:fldCharType="begin"/>
          </w:r>
          <w:r>
            <w:instrText xml:space="preserve"> PAGEREF _Toc172283524 \h </w:instrText>
          </w:r>
          <w:r>
            <w:fldChar w:fldCharType="separate"/>
          </w:r>
          <w:r>
            <w:t>29</w:t>
          </w:r>
          <w:r>
            <w:fldChar w:fldCharType="end"/>
          </w:r>
          <w:r>
            <w:fldChar w:fldCharType="end"/>
          </w:r>
        </w:p>
        <w:p>
          <w:pPr>
            <w:ind w:firstLine="420"/>
            <w:rPr>
              <w:rFonts w:hint="eastAsia"/>
            </w:rPr>
          </w:pPr>
          <w:r>
            <w:rPr>
              <w:b/>
              <w:bCs/>
              <w:lang w:val="zh-CN"/>
            </w:rPr>
            <w:fldChar w:fldCharType="end"/>
          </w:r>
        </w:p>
      </w:sdtContent>
    </w:sdt>
    <w:p>
      <w:pPr>
        <w:widowControl/>
        <w:spacing w:line="240" w:lineRule="auto"/>
        <w:ind w:firstLine="0" w:firstLineChars="0"/>
        <w:rPr>
          <w:rFonts w:hint="eastAsia" w:ascii="方正小标宋简体" w:hAnsi="方正小标宋简体" w:eastAsia="方正小标宋简体"/>
          <w:bCs/>
          <w:kern w:val="44"/>
          <w:sz w:val="44"/>
          <w:szCs w:val="44"/>
        </w:rPr>
        <w:sectPr>
          <w:headerReference r:id="rId13" w:type="first"/>
          <w:footerReference r:id="rId16" w:type="first"/>
          <w:headerReference r:id="rId11" w:type="default"/>
          <w:footerReference r:id="rId14" w:type="default"/>
          <w:headerReference r:id="rId12" w:type="even"/>
          <w:footerReference r:id="rId15" w:type="even"/>
          <w:pgSz w:w="11906" w:h="16838"/>
          <w:pgMar w:top="2268" w:right="1797" w:bottom="1701" w:left="1797" w:header="851" w:footer="992" w:gutter="0"/>
          <w:pgNumType w:start="1"/>
          <w:cols w:space="425" w:num="1"/>
          <w:docGrid w:type="lines" w:linePitch="312" w:charSpace="0"/>
        </w:sectPr>
      </w:pPr>
    </w:p>
    <w:p>
      <w:pPr>
        <w:widowControl/>
        <w:spacing w:line="240" w:lineRule="auto"/>
        <w:ind w:firstLine="0" w:firstLineChars="0"/>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lang w:eastAsia="zh-CN"/>
        </w:rPr>
        <w:t>关于提前下达2024年中央水利发展资金</w:t>
      </w:r>
      <w:r>
        <w:rPr>
          <w:rFonts w:ascii="方正小标宋简体" w:hAnsi="方正小标宋简体" w:eastAsia="方正小标宋简体"/>
          <w:sz w:val="44"/>
          <w:szCs w:val="44"/>
        </w:rPr>
        <w:t>项目</w:t>
      </w:r>
      <w:r>
        <w:rPr>
          <w:rFonts w:hint="eastAsia" w:ascii="方正小标宋简体" w:hAnsi="方正小标宋简体" w:eastAsia="方正小标宋简体"/>
          <w:sz w:val="44"/>
          <w:szCs w:val="44"/>
        </w:rPr>
        <w:t>绩效评价报告</w:t>
      </w:r>
    </w:p>
    <w:p>
      <w:pPr>
        <w:pStyle w:val="26"/>
        <w:ind w:firstLine="640"/>
      </w:pPr>
    </w:p>
    <w:p>
      <w:pPr>
        <w:pStyle w:val="26"/>
        <w:ind w:firstLine="640"/>
      </w:pPr>
      <w:r>
        <w:rPr>
          <w:rFonts w:hint="eastAsia"/>
        </w:rPr>
        <w:t>为贯彻落实全面推进预算绩效管理工作的要求，完善部门预算管理强化预算支出责任，提高财政资金的使用效益，根据</w:t>
      </w:r>
      <w:r>
        <w:rPr>
          <w:rFonts w:hint="eastAsia"/>
          <w:lang w:eastAsia="zh-CN"/>
        </w:rPr>
        <w:t>中央、自治区</w:t>
      </w:r>
      <w:r>
        <w:rPr>
          <w:rFonts w:hint="eastAsia"/>
          <w:szCs w:val="32"/>
          <w:lang w:eastAsia="zh-CN"/>
        </w:rPr>
        <w:t>相关</w:t>
      </w:r>
      <w:r>
        <w:t>文件的要求，受</w:t>
      </w:r>
      <w:r>
        <w:rPr>
          <w:rFonts w:hint="eastAsia"/>
        </w:rPr>
        <w:t>哈密市伊州区财政局的委托，天津安信管理咨询有限公司以第三方社会评价机构的身份，承担了</w:t>
      </w:r>
      <w:r>
        <w:rPr>
          <w:rFonts w:hint="eastAsia"/>
          <w:lang w:eastAsia="zh-CN"/>
        </w:rPr>
        <w:t>关于提前下达2024年中央水利发展资金</w:t>
      </w:r>
      <w:r>
        <w:t>项目绩效评价工作并形成绩效评价报告。</w:t>
      </w:r>
    </w:p>
    <w:p>
      <w:pPr>
        <w:pStyle w:val="29"/>
        <w:spacing w:before="0" w:after="0"/>
      </w:pPr>
      <w:bookmarkStart w:id="0" w:name="_Toc172283508"/>
      <w:r>
        <w:rPr>
          <w:rFonts w:hint="eastAsia"/>
        </w:rPr>
        <w:t>一、项目基本情况</w:t>
      </w:r>
      <w:bookmarkEnd w:id="0"/>
    </w:p>
    <w:p>
      <w:pPr>
        <w:pStyle w:val="31"/>
        <w:spacing w:before="0" w:after="0"/>
        <w:ind w:firstLine="643"/>
        <w:rPr>
          <w:rFonts w:hint="eastAsia"/>
          <w:b/>
          <w:bCs w:val="0"/>
        </w:rPr>
      </w:pPr>
      <w:bookmarkStart w:id="1" w:name="_Toc172283509"/>
      <w:r>
        <w:rPr>
          <w:rFonts w:hint="eastAsia"/>
          <w:b/>
          <w:bCs w:val="0"/>
        </w:rPr>
        <w:t>（一）项目概况</w:t>
      </w:r>
      <w:bookmarkEnd w:id="1"/>
    </w:p>
    <w:p>
      <w:pPr>
        <w:pStyle w:val="26"/>
        <w:ind w:firstLine="640"/>
      </w:pPr>
      <w:r>
        <w:rPr>
          <w:rFonts w:hint="eastAsia"/>
        </w:rPr>
        <w:t>1.项目背景</w:t>
      </w:r>
    </w:p>
    <w:p>
      <w:pPr>
        <w:pStyle w:val="26"/>
        <w:ind w:firstLine="640"/>
        <w:rPr>
          <w:rFonts w:hint="eastAsia"/>
          <w:szCs w:val="32"/>
          <w:lang w:val="en-US" w:eastAsia="zh-CN"/>
        </w:rPr>
      </w:pPr>
      <w:r>
        <w:rPr>
          <w:rFonts w:hint="eastAsia"/>
          <w:szCs w:val="32"/>
        </w:rPr>
        <w:t>党的十八大以来，党中央高度重视治水兴水工作，出台了一系列相关政策，要求加强水利基础设施建设，提升水资源管理与保护水平</w:t>
      </w:r>
      <w:r>
        <w:rPr>
          <w:rFonts w:hint="eastAsia"/>
          <w:szCs w:val="32"/>
          <w:lang w:eastAsia="zh-CN"/>
        </w:rPr>
        <w:t>，</w:t>
      </w:r>
      <w:r>
        <w:rPr>
          <w:rFonts w:hint="eastAsia"/>
          <w:szCs w:val="32"/>
        </w:rPr>
        <w:t>强调要高度重视水资源短缺和地下水问题。</w:t>
      </w:r>
      <w:r>
        <w:rPr>
          <w:rFonts w:hint="eastAsia"/>
          <w:szCs w:val="32"/>
          <w:lang w:val="en-US" w:eastAsia="zh-CN"/>
        </w:rPr>
        <w:t>伊州区水利发展工作多项问题亟待解决，一是伊州区</w:t>
      </w:r>
      <w:r>
        <w:rPr>
          <w:rFonts w:hint="eastAsia"/>
          <w:szCs w:val="32"/>
        </w:rPr>
        <w:t>属于典型温带大陆干旱性气候，水资源极为匮乏，降雨稀少，地下水超采是长期存在的历史问题</w:t>
      </w:r>
      <w:r>
        <w:rPr>
          <w:rFonts w:hint="eastAsia"/>
          <w:szCs w:val="32"/>
          <w:lang w:eastAsia="zh-CN"/>
        </w:rPr>
        <w:t>，关系到群众生活、农业灌溉、工业生产、生态保护等方方面面，水利部及自治区人民政府高度重视，要求严格地下水资源管理，遏制地下水水位快速下降趋势。</w:t>
      </w:r>
      <w:r>
        <w:rPr>
          <w:rFonts w:hint="eastAsia"/>
          <w:szCs w:val="32"/>
          <w:lang w:val="en-US" w:eastAsia="zh-CN"/>
        </w:rPr>
        <w:t>二是</w:t>
      </w:r>
      <w:r>
        <w:rPr>
          <w:rFonts w:hint="eastAsia"/>
          <w:szCs w:val="32"/>
          <w:lang w:eastAsia="zh-CN"/>
        </w:rPr>
        <w:t>伊州区山洪灾害防治区防御对象和危险区较多，当前山洪灾害防治仍存在雨水情监测设施站网密度低，部分监测站网布局不合理，部分危险区、防御对象仍存在监测盲区，山洪防治基层乡村和单位</w:t>
      </w:r>
      <w:r>
        <w:rPr>
          <w:rFonts w:hint="eastAsia"/>
          <w:szCs w:val="32"/>
          <w:lang w:val="en-US" w:eastAsia="zh-CN"/>
        </w:rPr>
        <w:t>存在</w:t>
      </w:r>
      <w:r>
        <w:rPr>
          <w:rFonts w:hint="eastAsia"/>
          <w:szCs w:val="32"/>
          <w:lang w:eastAsia="zh-CN"/>
        </w:rPr>
        <w:t>群测群防体系不健全等短板和薄弱环节。</w:t>
      </w:r>
      <w:r>
        <w:rPr>
          <w:rFonts w:hint="eastAsia"/>
          <w:szCs w:val="32"/>
          <w:lang w:val="en-US" w:eastAsia="zh-CN"/>
        </w:rPr>
        <w:t>三是伊州区共建设15处供水工程，随着工程长期运行，部分供水工程的供水设备及元配件、供水管材管件等出现损坏，影响了工程的正常运行，无法稳定保障农村居民的用水需求。四是伊州区小型水库经过洪水、灌溉供水周期的运行，部分水库出现大坝护坡裂缝、沉降等工程实体磨损消耗现象，大坝安全监测设施老化，管理站、闸井房等配套管理设施不满足标准化要求，严重影响了水库的安全运行，降低了其灌溉、防洪和供水保障能力。</w:t>
      </w:r>
    </w:p>
    <w:p>
      <w:pPr>
        <w:pStyle w:val="26"/>
        <w:ind w:firstLine="640"/>
        <w:rPr>
          <w:rFonts w:hint="default"/>
          <w:szCs w:val="32"/>
          <w:lang w:val="en-US" w:eastAsia="zh-CN"/>
        </w:rPr>
      </w:pPr>
      <w:r>
        <w:rPr>
          <w:rFonts w:hint="eastAsia"/>
          <w:szCs w:val="32"/>
          <w:lang w:eastAsia="zh-CN"/>
        </w:rPr>
        <w:t>为</w:t>
      </w:r>
      <w:r>
        <w:rPr>
          <w:rFonts w:hint="eastAsia"/>
          <w:szCs w:val="32"/>
          <w:lang w:val="en-US" w:eastAsia="zh-CN"/>
        </w:rPr>
        <w:t>解决上述问题，</w:t>
      </w:r>
      <w:r>
        <w:rPr>
          <w:rFonts w:hint="eastAsia"/>
          <w:szCs w:val="32"/>
          <w:lang w:eastAsia="zh-CN"/>
        </w:rPr>
        <w:t>保障当地供水安全、生态安全，维护自然生态环境，</w:t>
      </w:r>
      <w:r>
        <w:rPr>
          <w:rFonts w:hint="eastAsia"/>
          <w:szCs w:val="32"/>
          <w:lang w:val="en-US" w:eastAsia="zh-CN"/>
        </w:rPr>
        <w:t>中央下达</w:t>
      </w:r>
      <w:r>
        <w:rPr>
          <w:rFonts w:hint="eastAsia"/>
          <w:szCs w:val="32"/>
          <w:lang w:eastAsia="zh-CN"/>
        </w:rPr>
        <w:t>水利发展</w:t>
      </w:r>
      <w:r>
        <w:rPr>
          <w:rFonts w:hint="eastAsia"/>
          <w:szCs w:val="32"/>
          <w:lang w:val="en-US" w:eastAsia="zh-CN"/>
        </w:rPr>
        <w:t>专项</w:t>
      </w:r>
      <w:r>
        <w:rPr>
          <w:rFonts w:hint="eastAsia"/>
          <w:szCs w:val="32"/>
          <w:lang w:eastAsia="zh-CN"/>
        </w:rPr>
        <w:t>资金</w:t>
      </w:r>
      <w:r>
        <w:rPr>
          <w:rFonts w:hint="eastAsia"/>
          <w:szCs w:val="32"/>
          <w:lang w:val="en-US" w:eastAsia="zh-CN"/>
        </w:rPr>
        <w:t>支持</w:t>
      </w:r>
      <w:r>
        <w:rPr>
          <w:rFonts w:hint="eastAsia"/>
          <w:szCs w:val="32"/>
          <w:lang w:eastAsia="zh-CN"/>
        </w:rPr>
        <w:t>伊州区</w:t>
      </w:r>
      <w:r>
        <w:rPr>
          <w:rFonts w:hint="eastAsia"/>
          <w:szCs w:val="32"/>
          <w:lang w:val="en-US" w:eastAsia="zh-CN"/>
        </w:rPr>
        <w:t>开展</w:t>
      </w:r>
      <w:r>
        <w:rPr>
          <w:rFonts w:hint="eastAsia"/>
          <w:szCs w:val="32"/>
          <w:lang w:eastAsia="zh-CN"/>
        </w:rPr>
        <w:t>地下水超采治理、山洪灾害防治、水库维修养护、</w:t>
      </w:r>
      <w:r>
        <w:rPr>
          <w:rFonts w:hint="eastAsia"/>
          <w:lang w:eastAsia="zh-CN"/>
        </w:rPr>
        <w:t>农村饮用水工程维修养护、农业水价综合改革</w:t>
      </w:r>
      <w:r>
        <w:rPr>
          <w:rFonts w:hint="eastAsia"/>
          <w:szCs w:val="32"/>
          <w:lang w:val="en-US" w:eastAsia="zh-CN"/>
        </w:rPr>
        <w:t>等工作。</w:t>
      </w:r>
    </w:p>
    <w:p>
      <w:pPr>
        <w:pStyle w:val="26"/>
        <w:ind w:firstLine="640"/>
      </w:pPr>
      <w:r>
        <w:rPr>
          <w:rFonts w:hint="eastAsia"/>
        </w:rPr>
        <w:t>2.主要内容</w:t>
      </w:r>
    </w:p>
    <w:p>
      <w:pPr>
        <w:pStyle w:val="26"/>
        <w:ind w:firstLine="640"/>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关于提前下达2024年中央水利发展资金</w:t>
      </w:r>
      <w:r>
        <w:rPr>
          <w:rFonts w:hint="eastAsia"/>
          <w:color w:val="000000" w:themeColor="text1"/>
          <w14:textFill>
            <w14:solidFill>
              <w14:schemeClr w14:val="tx1"/>
            </w14:solidFill>
          </w14:textFill>
        </w:rPr>
        <w:t>项目主要</w:t>
      </w:r>
      <w:r>
        <w:rPr>
          <w:rFonts w:hint="eastAsia"/>
          <w:color w:val="000000" w:themeColor="text1"/>
          <w:lang w:val="en-US" w:eastAsia="zh-CN"/>
          <w14:textFill>
            <w14:solidFill>
              <w14:schemeClr w14:val="tx1"/>
            </w14:solidFill>
          </w14:textFill>
        </w:rPr>
        <w:t>包括五项内容，分别为实施</w:t>
      </w:r>
      <w:r>
        <w:rPr>
          <w:rFonts w:hint="eastAsia"/>
          <w:color w:val="000000" w:themeColor="text1"/>
          <w:lang w:eastAsia="zh-CN"/>
          <w14:textFill>
            <w14:solidFill>
              <w14:schemeClr w14:val="tx1"/>
            </w14:solidFill>
          </w14:textFill>
        </w:rPr>
        <w:t>山洪灾害防治非工程措施项目，</w:t>
      </w:r>
      <w:r>
        <w:rPr>
          <w:rFonts w:hint="eastAsia"/>
          <w:color w:val="000000" w:themeColor="text1"/>
          <w:lang w:val="en-US" w:eastAsia="zh-CN"/>
          <w14:textFill>
            <w14:solidFill>
              <w14:schemeClr w14:val="tx1"/>
            </w14:solidFill>
          </w14:textFill>
        </w:rPr>
        <w:t>实施农村饮水维修养护项目，对石城子、沁城等灌区设施进行维修养护，对辖区水库进行维修养护，实施地下水超采治理地表水置换地下水工程</w:t>
      </w:r>
      <w:r>
        <w:rPr>
          <w:rFonts w:hint="eastAsia"/>
          <w:color w:val="000000" w:themeColor="text1"/>
          <w14:textFill>
            <w14:solidFill>
              <w14:schemeClr w14:val="tx1"/>
            </w14:solidFill>
          </w14:textFill>
        </w:rPr>
        <w:t>。</w:t>
      </w:r>
    </w:p>
    <w:p>
      <w:pPr>
        <w:pStyle w:val="26"/>
        <w:ind w:firstLine="640"/>
      </w:pPr>
      <w:r>
        <w:rPr>
          <w:rFonts w:hint="eastAsia"/>
        </w:rPr>
        <w:t>3.项目组织管理</w:t>
      </w:r>
    </w:p>
    <w:p>
      <w:pPr>
        <w:pStyle w:val="26"/>
        <w:ind w:firstLine="640"/>
        <w:rPr>
          <w:bCs/>
          <w:szCs w:val="32"/>
          <w:highlight w:val="none"/>
        </w:rPr>
      </w:pPr>
      <w:r>
        <w:rPr>
          <w:rFonts w:hint="eastAsia"/>
          <w:bCs/>
          <w:szCs w:val="32"/>
          <w:highlight w:val="none"/>
        </w:rPr>
        <w:t>（1）项目组织情况</w:t>
      </w:r>
    </w:p>
    <w:p>
      <w:pPr>
        <w:pStyle w:val="26"/>
        <w:ind w:firstLine="640"/>
        <w:rPr>
          <w:bCs/>
          <w:highlight w:val="none"/>
        </w:rPr>
      </w:pPr>
      <w:r>
        <w:rPr>
          <w:rFonts w:hint="eastAsia"/>
          <w:bCs/>
          <w:highlight w:val="none"/>
        </w:rPr>
        <w:t>本项目涉及单位包括哈密市伊州区财政局、哈密市伊州区发展和改革委</w:t>
      </w:r>
      <w:r>
        <w:rPr>
          <w:rFonts w:hint="eastAsia"/>
          <w:bCs/>
          <w:highlight w:val="none"/>
          <w:lang w:eastAsia="zh-CN"/>
        </w:rPr>
        <w:t>员</w:t>
      </w:r>
      <w:r>
        <w:rPr>
          <w:rFonts w:hint="eastAsia"/>
          <w:bCs/>
          <w:highlight w:val="none"/>
        </w:rPr>
        <w:t>会</w:t>
      </w:r>
      <w:r>
        <w:rPr>
          <w:rFonts w:hint="eastAsia"/>
          <w:bCs/>
          <w:highlight w:val="none"/>
          <w:lang w:eastAsia="zh-CN"/>
        </w:rPr>
        <w:t>、哈密市</w:t>
      </w:r>
      <w:bookmarkStart w:id="18" w:name="_GoBack"/>
      <w:bookmarkEnd w:id="18"/>
      <w:r>
        <w:rPr>
          <w:rFonts w:hint="eastAsia"/>
          <w:bCs/>
          <w:highlight w:val="none"/>
          <w:lang w:eastAsia="zh-CN"/>
        </w:rPr>
        <w:t>伊州区水利局</w:t>
      </w:r>
      <w:r>
        <w:rPr>
          <w:rFonts w:hint="eastAsia"/>
          <w:bCs/>
          <w:highlight w:val="none"/>
        </w:rPr>
        <w:t>。各单位的职责如下</w:t>
      </w:r>
      <w:r>
        <w:rPr>
          <w:bCs/>
          <w:highlight w:val="none"/>
        </w:rPr>
        <w:t>:</w:t>
      </w:r>
    </w:p>
    <w:p>
      <w:pPr>
        <w:pStyle w:val="26"/>
        <w:ind w:firstLine="643"/>
        <w:rPr>
          <w:bCs/>
          <w:highlight w:val="none"/>
        </w:rPr>
      </w:pPr>
      <w:r>
        <w:rPr>
          <w:rFonts w:hint="eastAsia"/>
          <w:b/>
          <w:highlight w:val="none"/>
        </w:rPr>
        <w:t>哈密市伊州区财政局：</w:t>
      </w:r>
      <w:r>
        <w:rPr>
          <w:bCs/>
          <w:highlight w:val="none"/>
        </w:rPr>
        <w:t>负责项目</w:t>
      </w:r>
      <w:r>
        <w:rPr>
          <w:rFonts w:hint="eastAsia"/>
          <w:bCs/>
          <w:highlight w:val="none"/>
        </w:rPr>
        <w:t>转移支付资金</w:t>
      </w:r>
      <w:r>
        <w:rPr>
          <w:bCs/>
          <w:highlight w:val="none"/>
        </w:rPr>
        <w:t>预算指标</w:t>
      </w:r>
      <w:r>
        <w:rPr>
          <w:rFonts w:hint="eastAsia"/>
          <w:bCs/>
          <w:highlight w:val="none"/>
        </w:rPr>
        <w:t>接收、下达与项目资金发放管理</w:t>
      </w:r>
      <w:r>
        <w:rPr>
          <w:bCs/>
          <w:highlight w:val="none"/>
        </w:rPr>
        <w:t>，并对项目资金使用情况进行绩效考核和监督检查。</w:t>
      </w:r>
    </w:p>
    <w:p>
      <w:pPr>
        <w:pStyle w:val="26"/>
        <w:ind w:firstLine="643"/>
        <w:rPr>
          <w:bCs/>
        </w:rPr>
      </w:pPr>
      <w:r>
        <w:rPr>
          <w:rFonts w:hint="eastAsia"/>
          <w:b/>
        </w:rPr>
        <w:t>哈密市伊州区发展和改革委</w:t>
      </w:r>
      <w:r>
        <w:rPr>
          <w:rFonts w:hint="eastAsia"/>
          <w:b/>
          <w:lang w:val="en-US" w:eastAsia="zh-CN"/>
        </w:rPr>
        <w:t>员</w:t>
      </w:r>
      <w:r>
        <w:rPr>
          <w:rFonts w:hint="eastAsia"/>
          <w:b/>
        </w:rPr>
        <w:t>会：</w:t>
      </w:r>
      <w:r>
        <w:rPr>
          <w:rFonts w:hint="eastAsia"/>
          <w:bCs/>
        </w:rPr>
        <w:t>负责项目建议书、可行性研究报告、初步设计及概算审核批复工作。</w:t>
      </w:r>
    </w:p>
    <w:p>
      <w:pPr>
        <w:pStyle w:val="26"/>
        <w:ind w:firstLine="643"/>
        <w:rPr>
          <w:highlight w:val="none"/>
        </w:rPr>
      </w:pPr>
      <w:r>
        <w:rPr>
          <w:rFonts w:hint="eastAsia"/>
          <w:b/>
          <w:highlight w:val="none"/>
          <w:lang w:eastAsia="zh-CN"/>
        </w:rPr>
        <w:t>哈密市伊州区水利局</w:t>
      </w:r>
      <w:r>
        <w:rPr>
          <w:rFonts w:hint="eastAsia"/>
          <w:b/>
          <w:highlight w:val="none"/>
        </w:rPr>
        <w:t>：</w:t>
      </w:r>
      <w:r>
        <w:rPr>
          <w:rFonts w:hint="eastAsia"/>
          <w:bCs/>
          <w:highlight w:val="none"/>
        </w:rPr>
        <w:t>负责项目建议书、可行性研究报告、初步设计及概算报批，项目招标、项目验收、项目资金结算等工作的组织实施以及项目实施绩效目标、监控、自评等相关材料编报工作。</w:t>
      </w:r>
    </w:p>
    <w:p>
      <w:pPr>
        <w:pStyle w:val="26"/>
        <w:ind w:firstLine="640"/>
        <w:rPr>
          <w:bCs/>
        </w:rPr>
      </w:pPr>
      <w:r>
        <w:rPr>
          <w:rFonts w:hint="eastAsia"/>
          <w:bCs/>
        </w:rPr>
        <w:t>（2）资金管理情况</w:t>
      </w:r>
    </w:p>
    <w:p>
      <w:pPr>
        <w:pStyle w:val="26"/>
        <w:ind w:firstLine="643"/>
        <w:rPr>
          <w:bCs/>
        </w:rPr>
      </w:pPr>
      <w:r>
        <w:rPr>
          <w:rFonts w:hint="eastAsia"/>
          <w:b/>
        </w:rPr>
        <w:t>预算编制：</w:t>
      </w:r>
      <w:r>
        <w:rPr>
          <w:rFonts w:hint="eastAsia"/>
          <w:bCs/>
        </w:rPr>
        <w:t>项目资金预算来源为</w:t>
      </w:r>
      <w:r>
        <w:rPr>
          <w:rFonts w:hint="eastAsia"/>
          <w:bCs/>
          <w:lang w:val="en-US" w:eastAsia="zh-CN"/>
        </w:rPr>
        <w:t>中央</w:t>
      </w:r>
      <w:r>
        <w:rPr>
          <w:rFonts w:hint="eastAsia"/>
          <w:bCs/>
        </w:rPr>
        <w:t>转移支付资金，由哈密市伊州区财政局根据哈密市财政局下达</w:t>
      </w:r>
      <w:r>
        <w:rPr>
          <w:rFonts w:hint="eastAsia"/>
          <w:szCs w:val="32"/>
          <w:lang w:eastAsia="zh-CN"/>
        </w:rPr>
        <w:t>相关</w:t>
      </w:r>
      <w:r>
        <w:t>文件</w:t>
      </w:r>
      <w:r>
        <w:rPr>
          <w:rFonts w:hint="eastAsia"/>
          <w:bCs/>
        </w:rPr>
        <w:t>完成本项目预算资金指标接收工作，并由</w:t>
      </w:r>
      <w:r>
        <w:rPr>
          <w:rFonts w:hint="eastAsia"/>
          <w:bCs/>
          <w:lang w:eastAsia="zh-CN"/>
        </w:rPr>
        <w:t>哈密市伊州区水利局</w:t>
      </w:r>
      <w:r>
        <w:rPr>
          <w:rFonts w:hint="eastAsia"/>
          <w:bCs/>
        </w:rPr>
        <w:t>完成项目预算</w:t>
      </w:r>
      <w:r>
        <w:rPr>
          <w:rFonts w:hint="eastAsia"/>
          <w:bCs/>
          <w:lang w:val="en-US" w:eastAsia="zh-CN"/>
        </w:rPr>
        <w:t>编制及申报</w:t>
      </w:r>
      <w:r>
        <w:rPr>
          <w:rFonts w:hint="eastAsia"/>
          <w:bCs/>
        </w:rPr>
        <w:t>工作。</w:t>
      </w:r>
    </w:p>
    <w:p>
      <w:pPr>
        <w:pStyle w:val="26"/>
        <w:ind w:firstLine="643"/>
        <w:rPr>
          <w:bCs/>
        </w:rPr>
      </w:pPr>
      <w:r>
        <w:rPr>
          <w:rFonts w:hint="eastAsia"/>
          <w:b/>
        </w:rPr>
        <w:t>资金拨付：</w:t>
      </w:r>
      <w:r>
        <w:rPr>
          <w:rFonts w:hint="eastAsia"/>
          <w:bCs/>
        </w:rPr>
        <w:t>哈密市伊州区财政局根据</w:t>
      </w:r>
      <w:r>
        <w:rPr>
          <w:rFonts w:hint="eastAsia"/>
          <w:szCs w:val="32"/>
          <w:lang w:eastAsia="zh-CN"/>
        </w:rPr>
        <w:t>相关</w:t>
      </w:r>
      <w:r>
        <w:t>文件</w:t>
      </w:r>
      <w:r>
        <w:rPr>
          <w:rFonts w:hint="eastAsia"/>
          <w:bCs/>
        </w:rPr>
        <w:t>要求于202</w:t>
      </w:r>
      <w:r>
        <w:rPr>
          <w:rFonts w:hint="eastAsia"/>
          <w:bCs/>
          <w:lang w:val="en-US" w:eastAsia="zh-CN"/>
        </w:rPr>
        <w:t>4</w:t>
      </w:r>
      <w:r>
        <w:rPr>
          <w:rFonts w:hint="eastAsia"/>
          <w:bCs/>
        </w:rPr>
        <w:t>年预算年度将项目预算资金指标下达至</w:t>
      </w:r>
      <w:r>
        <w:rPr>
          <w:rFonts w:hint="eastAsia"/>
          <w:bCs/>
          <w:lang w:eastAsia="zh-CN"/>
        </w:rPr>
        <w:t>哈密市伊州区水利局</w:t>
      </w:r>
      <w:r>
        <w:rPr>
          <w:rFonts w:hint="eastAsia"/>
          <w:bCs/>
        </w:rPr>
        <w:t>。项目预算资金指标下达后，</w:t>
      </w:r>
      <w:r>
        <w:rPr>
          <w:rFonts w:hint="eastAsia"/>
          <w:bCs/>
          <w:lang w:eastAsia="zh-CN"/>
        </w:rPr>
        <w:t>哈密市伊州区水利局</w:t>
      </w:r>
      <w:r>
        <w:rPr>
          <w:rFonts w:hint="eastAsia"/>
          <w:bCs/>
        </w:rPr>
        <w:t>依据</w:t>
      </w:r>
      <w:r>
        <w:rPr>
          <w:rFonts w:hint="eastAsia"/>
          <w:bCs/>
          <w:lang w:val="en-US" w:eastAsia="zh-CN"/>
        </w:rPr>
        <w:t>按照</w:t>
      </w:r>
      <w:r>
        <w:rPr>
          <w:rFonts w:hint="eastAsia"/>
          <w:bCs/>
        </w:rPr>
        <w:t>规定使用项目资金，切实规范专项资金管理，保障资金安全、高效运行，确保资金专款专用，实现项目预期目标，发挥资金使用效益。</w:t>
      </w:r>
    </w:p>
    <w:p>
      <w:pPr>
        <w:pStyle w:val="26"/>
        <w:ind w:firstLine="640"/>
      </w:pPr>
      <w:r>
        <w:rPr>
          <w:rFonts w:hint="eastAsia"/>
        </w:rPr>
        <w:t>4.资金投入和使用情况</w:t>
      </w:r>
    </w:p>
    <w:p>
      <w:pPr>
        <w:pStyle w:val="26"/>
        <w:ind w:firstLine="640"/>
      </w:pPr>
      <w:r>
        <w:rPr>
          <w:rFonts w:hint="eastAsia"/>
        </w:rPr>
        <w:t>本项目202</w:t>
      </w:r>
      <w:r>
        <w:rPr>
          <w:rFonts w:hint="eastAsia"/>
          <w:lang w:val="en-US" w:eastAsia="zh-CN"/>
        </w:rPr>
        <w:t>4</w:t>
      </w:r>
      <w:r>
        <w:rPr>
          <w:rFonts w:hint="eastAsia"/>
        </w:rPr>
        <w:t>年度资金计划下达金额为</w:t>
      </w:r>
      <w:r>
        <w:rPr>
          <w:rFonts w:hint="eastAsia"/>
          <w:lang w:val="en-US" w:eastAsia="zh-CN"/>
        </w:rPr>
        <w:t>2682</w:t>
      </w:r>
      <w:r>
        <w:rPr>
          <w:rFonts w:hint="eastAsia"/>
        </w:rPr>
        <w:t>.5</w:t>
      </w:r>
      <w:r>
        <w:rPr>
          <w:rFonts w:hint="eastAsia"/>
          <w:lang w:val="en-US" w:eastAsia="zh-CN"/>
        </w:rPr>
        <w:t>0</w:t>
      </w:r>
      <w:r>
        <w:rPr>
          <w:rFonts w:hint="eastAsia"/>
        </w:rPr>
        <w:t>万元，全部为中央转移支付资金。截至202</w:t>
      </w:r>
      <w:r>
        <w:rPr>
          <w:rFonts w:hint="eastAsia"/>
          <w:lang w:val="en-US" w:eastAsia="zh-CN"/>
        </w:rPr>
        <w:t>4</w:t>
      </w:r>
      <w:r>
        <w:rPr>
          <w:rFonts w:hint="eastAsia"/>
        </w:rPr>
        <w:t>年12月31日，实际到位资金为</w:t>
      </w:r>
      <w:r>
        <w:rPr>
          <w:rFonts w:hint="eastAsia"/>
          <w:lang w:val="en-US" w:eastAsia="zh-CN"/>
        </w:rPr>
        <w:t>2682</w:t>
      </w:r>
      <w:r>
        <w:rPr>
          <w:rFonts w:hint="eastAsia"/>
        </w:rPr>
        <w:t>.5</w:t>
      </w:r>
      <w:r>
        <w:rPr>
          <w:rFonts w:hint="eastAsia"/>
          <w:lang w:val="en-US" w:eastAsia="zh-CN"/>
        </w:rPr>
        <w:t>0</w:t>
      </w:r>
      <w:r>
        <w:rPr>
          <w:rFonts w:hint="eastAsia"/>
        </w:rPr>
        <w:t>万元，资金到位率为100%。项目资金</w:t>
      </w:r>
      <w:r>
        <w:rPr>
          <w:rFonts w:hint="eastAsia"/>
          <w:lang w:val="en-US" w:eastAsia="zh-CN"/>
        </w:rPr>
        <w:t>全部</w:t>
      </w:r>
      <w:r>
        <w:rPr>
          <w:rFonts w:hint="eastAsia"/>
        </w:rPr>
        <w:t>用于山洪灾害防治，农村饮水维修养护，对石城子、沁城等灌区设施进行维修养护，对辖区水库进行维修养护，实施地下水超采治理，截至202</w:t>
      </w:r>
      <w:r>
        <w:rPr>
          <w:rFonts w:hint="eastAsia"/>
          <w:lang w:val="en-US" w:eastAsia="zh-CN"/>
        </w:rPr>
        <w:t>4</w:t>
      </w:r>
      <w:r>
        <w:rPr>
          <w:rFonts w:hint="eastAsia"/>
        </w:rPr>
        <w:t>年12月31日，项目实际支付资金为</w:t>
      </w:r>
      <w:r>
        <w:rPr>
          <w:rFonts w:hint="eastAsia"/>
          <w:lang w:val="en-US" w:eastAsia="zh-CN"/>
        </w:rPr>
        <w:t>2251.48</w:t>
      </w:r>
      <w:r>
        <w:rPr>
          <w:rFonts w:hint="eastAsia"/>
        </w:rPr>
        <w:t>万元，预算执行率为</w:t>
      </w:r>
      <w:r>
        <w:rPr>
          <w:rFonts w:hint="eastAsia"/>
          <w:lang w:val="en-US" w:eastAsia="zh-CN"/>
        </w:rPr>
        <w:t>83.93</w:t>
      </w:r>
      <w:r>
        <w:rPr>
          <w:rFonts w:hint="eastAsia"/>
        </w:rPr>
        <w:t>%。</w:t>
      </w:r>
    </w:p>
    <w:p>
      <w:pPr>
        <w:pStyle w:val="26"/>
        <w:spacing w:line="276" w:lineRule="auto"/>
        <w:ind w:firstLine="640"/>
      </w:pPr>
      <w:r>
        <w:rPr>
          <w:rFonts w:hint="eastAsia"/>
        </w:rPr>
        <w:t>资金具体情况见表</w:t>
      </w:r>
      <w:r>
        <w:rPr>
          <w:rFonts w:hint="eastAsia"/>
          <w:lang w:val="en-US" w:eastAsia="zh-CN"/>
        </w:rPr>
        <w:t>1</w:t>
      </w:r>
      <w:r>
        <w:rPr>
          <w:rFonts w:hint="eastAsia"/>
        </w:rPr>
        <w:t>所示：</w:t>
      </w:r>
    </w:p>
    <w:p>
      <w:pPr>
        <w:widowControl/>
        <w:spacing w:line="276" w:lineRule="auto"/>
        <w:ind w:firstLine="0" w:firstLineChars="0"/>
        <w:jc w:val="center"/>
        <w:rPr>
          <w:rFonts w:hint="eastAsia" w:ascii="宋体" w:hAnsi="宋体" w:eastAsia="宋体" w:cs="Times New Roman"/>
          <w:b/>
          <w:sz w:val="24"/>
          <w:szCs w:val="22"/>
        </w:rPr>
      </w:pPr>
      <w:r>
        <w:rPr>
          <w:rFonts w:ascii="宋体" w:hAnsi="宋体" w:eastAsia="宋体" w:cs="Times New Roman"/>
          <w:b/>
          <w:sz w:val="24"/>
          <w:szCs w:val="22"/>
        </w:rPr>
        <w:t>表</w:t>
      </w:r>
      <w:r>
        <w:rPr>
          <w:rFonts w:hint="eastAsia" w:ascii="Times New Roman" w:hAnsi="Times New Roman" w:eastAsia="宋体" w:cs="Times New Roman"/>
          <w:b/>
          <w:sz w:val="24"/>
          <w:szCs w:val="22"/>
          <w:lang w:val="en-US" w:eastAsia="zh-CN"/>
        </w:rPr>
        <w:t>1</w:t>
      </w:r>
      <w:r>
        <w:rPr>
          <w:rFonts w:ascii="宋体" w:hAnsi="宋体" w:eastAsia="宋体" w:cs="Times New Roman"/>
          <w:b/>
          <w:sz w:val="24"/>
          <w:szCs w:val="22"/>
        </w:rPr>
        <w:t xml:space="preserve">  资金预算执行率情况表</w:t>
      </w:r>
    </w:p>
    <w:p>
      <w:pPr>
        <w:widowControl/>
        <w:spacing w:line="276" w:lineRule="auto"/>
        <w:ind w:firstLine="0" w:firstLineChars="0"/>
        <w:jc w:val="right"/>
        <w:rPr>
          <w:rFonts w:ascii="Times New Roman" w:hAnsi="Times New Roman" w:eastAsia="宋体" w:cs="Times New Roman"/>
          <w:bCs/>
          <w:szCs w:val="18"/>
        </w:rPr>
      </w:pPr>
      <w:r>
        <w:rPr>
          <w:rFonts w:hint="eastAsia" w:ascii="Times New Roman" w:hAnsi="Times New Roman" w:eastAsia="宋体" w:cs="Times New Roman"/>
          <w:bCs/>
          <w:szCs w:val="18"/>
        </w:rPr>
        <w:t>单位：万元</w:t>
      </w:r>
    </w:p>
    <w:tbl>
      <w:tblPr>
        <w:tblStyle w:val="51"/>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22"/>
        <w:gridCol w:w="1422"/>
        <w:gridCol w:w="1421"/>
        <w:gridCol w:w="1421"/>
        <w:gridCol w:w="1421"/>
        <w:gridCol w:w="14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blHeader/>
          <w:jc w:val="center"/>
        </w:trPr>
        <w:tc>
          <w:tcPr>
            <w:tcW w:w="1422"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资金计划</w:t>
            </w:r>
          </w:p>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下达时间</w:t>
            </w:r>
          </w:p>
        </w:tc>
        <w:tc>
          <w:tcPr>
            <w:tcW w:w="1422"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资金计划</w:t>
            </w:r>
          </w:p>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下达金额</w:t>
            </w:r>
          </w:p>
        </w:tc>
        <w:tc>
          <w:tcPr>
            <w:tcW w:w="1421"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实际到位</w:t>
            </w:r>
          </w:p>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资金</w:t>
            </w:r>
          </w:p>
        </w:tc>
        <w:tc>
          <w:tcPr>
            <w:tcW w:w="1421"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资金到位率</w:t>
            </w:r>
          </w:p>
        </w:tc>
        <w:tc>
          <w:tcPr>
            <w:tcW w:w="1421"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实际支付</w:t>
            </w:r>
          </w:p>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资金</w:t>
            </w:r>
          </w:p>
        </w:tc>
        <w:tc>
          <w:tcPr>
            <w:tcW w:w="1421" w:type="dxa"/>
            <w:vAlign w:val="center"/>
          </w:tcPr>
          <w:p>
            <w:pPr>
              <w:spacing w:line="240" w:lineRule="auto"/>
              <w:ind w:firstLine="0" w:firstLineChars="0"/>
              <w:jc w:val="center"/>
              <w:rPr>
                <w:rFonts w:hint="eastAsia" w:ascii="宋体" w:hAnsi="宋体" w:eastAsia="宋体" w:cs="Times New Roman"/>
                <w:b/>
              </w:rPr>
            </w:pPr>
            <w:r>
              <w:rPr>
                <w:rFonts w:hint="eastAsia" w:ascii="宋体" w:hAnsi="宋体" w:eastAsia="宋体" w:cs="Times New Roman"/>
                <w:b/>
              </w:rPr>
              <w:t>预算执行率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1422"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rPr>
              <w:t>2</w:t>
            </w:r>
            <w:r>
              <w:rPr>
                <w:rFonts w:ascii="Times New Roman" w:hAnsi="Times New Roman" w:eastAsia="宋体" w:cs="Times New Roman"/>
              </w:rPr>
              <w:t>02</w:t>
            </w:r>
            <w:r>
              <w:rPr>
                <w:rFonts w:hint="eastAsia" w:ascii="Times New Roman" w:hAnsi="Times New Roman" w:eastAsia="宋体" w:cs="Times New Roman"/>
                <w:lang w:val="en-US" w:eastAsia="zh-CN"/>
              </w:rPr>
              <w:t>4</w:t>
            </w:r>
            <w:r>
              <w:rPr>
                <w:rFonts w:hint="eastAsia" w:ascii="Times New Roman" w:hAnsi="Times New Roman" w:eastAsia="宋体" w:cs="Times New Roman"/>
              </w:rPr>
              <w:t>年</w:t>
            </w:r>
          </w:p>
        </w:tc>
        <w:tc>
          <w:tcPr>
            <w:tcW w:w="1422"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lang w:val="en-US" w:eastAsia="zh-CN"/>
              </w:rPr>
              <w:t>2682</w:t>
            </w:r>
            <w:r>
              <w:rPr>
                <w:rFonts w:hint="eastAsia" w:ascii="Times New Roman" w:hAnsi="Times New Roman" w:eastAsia="宋体" w:cs="Times New Roman"/>
              </w:rPr>
              <w:t>.5</w:t>
            </w:r>
            <w:r>
              <w:rPr>
                <w:rFonts w:hint="eastAsia" w:ascii="Times New Roman" w:hAnsi="Times New Roman" w:eastAsia="宋体" w:cs="Times New Roman"/>
                <w:lang w:val="en-US" w:eastAsia="zh-CN"/>
              </w:rPr>
              <w:t>0</w:t>
            </w:r>
          </w:p>
        </w:tc>
        <w:tc>
          <w:tcPr>
            <w:tcW w:w="1421"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lang w:val="en-US" w:eastAsia="zh-CN"/>
              </w:rPr>
              <w:t>2682</w:t>
            </w:r>
            <w:r>
              <w:rPr>
                <w:rFonts w:hint="eastAsia" w:ascii="Times New Roman" w:hAnsi="Times New Roman" w:eastAsia="宋体" w:cs="Times New Roman"/>
              </w:rPr>
              <w:t>.5</w:t>
            </w:r>
            <w:r>
              <w:rPr>
                <w:rFonts w:hint="eastAsia" w:ascii="Times New Roman" w:hAnsi="Times New Roman" w:eastAsia="宋体" w:cs="Times New Roman"/>
                <w:lang w:val="en-US" w:eastAsia="zh-CN"/>
              </w:rPr>
              <w:t>0</w:t>
            </w:r>
          </w:p>
        </w:tc>
        <w:tc>
          <w:tcPr>
            <w:tcW w:w="1421"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rPr>
              <w:t>1</w:t>
            </w:r>
            <w:r>
              <w:rPr>
                <w:rFonts w:ascii="Times New Roman" w:hAnsi="Times New Roman" w:eastAsia="宋体" w:cs="Times New Roman"/>
              </w:rPr>
              <w:t>00%</w:t>
            </w:r>
          </w:p>
        </w:tc>
        <w:tc>
          <w:tcPr>
            <w:tcW w:w="1421"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lang w:val="en-US" w:eastAsia="zh-CN"/>
              </w:rPr>
              <w:t>2251.48</w:t>
            </w:r>
          </w:p>
        </w:tc>
        <w:tc>
          <w:tcPr>
            <w:tcW w:w="1421" w:type="dxa"/>
            <w:vAlign w:val="center"/>
          </w:tcPr>
          <w:p>
            <w:pPr>
              <w:ind w:firstLine="0" w:firstLineChars="0"/>
              <w:jc w:val="center"/>
              <w:rPr>
                <w:rFonts w:ascii="Times New Roman" w:hAnsi="Times New Roman" w:eastAsia="宋体" w:cs="Times New Roman"/>
              </w:rPr>
            </w:pPr>
            <w:r>
              <w:rPr>
                <w:rFonts w:hint="eastAsia" w:ascii="Times New Roman" w:hAnsi="Times New Roman" w:eastAsia="宋体" w:cs="Times New Roman"/>
                <w:lang w:val="en-US" w:eastAsia="zh-CN"/>
              </w:rPr>
              <w:t>83.93</w:t>
            </w:r>
            <w:r>
              <w:rPr>
                <w:rFonts w:ascii="Times New Roman" w:hAnsi="Times New Roman" w:eastAsia="宋体" w:cs="Times New Roman"/>
              </w:rPr>
              <w:t>%</w:t>
            </w:r>
          </w:p>
        </w:tc>
      </w:tr>
    </w:tbl>
    <w:p>
      <w:pPr>
        <w:pStyle w:val="31"/>
        <w:spacing w:before="0" w:after="0"/>
        <w:ind w:firstLine="643"/>
        <w:rPr>
          <w:rFonts w:hint="eastAsia"/>
          <w:b/>
          <w:bCs w:val="0"/>
        </w:rPr>
      </w:pPr>
      <w:bookmarkStart w:id="2" w:name="_Toc172283510"/>
      <w:r>
        <w:rPr>
          <w:rFonts w:hint="eastAsia"/>
          <w:b/>
          <w:bCs w:val="0"/>
        </w:rPr>
        <w:t>（二）项目绩效目标</w:t>
      </w:r>
      <w:bookmarkEnd w:id="2"/>
    </w:p>
    <w:p>
      <w:pPr>
        <w:pStyle w:val="26"/>
        <w:ind w:firstLine="640"/>
      </w:pPr>
      <w:r>
        <w:rPr>
          <w:rFonts w:hint="eastAsia"/>
        </w:rPr>
        <w:t>1.总目标</w:t>
      </w:r>
    </w:p>
    <w:p>
      <w:pPr>
        <w:pStyle w:val="26"/>
        <w:ind w:firstLine="640"/>
      </w:pPr>
      <w:r>
        <w:rPr>
          <w:rFonts w:hint="eastAsia"/>
        </w:rPr>
        <w:t>开展有关水利建设和维修养护及地表水置换地下水工程，推动水利改革发展</w:t>
      </w:r>
      <w:r>
        <w:t>。</w:t>
      </w:r>
    </w:p>
    <w:p>
      <w:pPr>
        <w:pStyle w:val="26"/>
        <w:ind w:firstLine="640"/>
      </w:pPr>
      <w:r>
        <w:rPr>
          <w:rFonts w:hint="eastAsia"/>
        </w:rPr>
        <w:t>2.年度绩效目标</w:t>
      </w:r>
    </w:p>
    <w:p>
      <w:pPr>
        <w:pStyle w:val="26"/>
        <w:ind w:firstLine="640"/>
      </w:pPr>
      <w:r>
        <w:rPr>
          <w:rFonts w:hint="eastAsia"/>
        </w:rPr>
        <w:t>根据《</w:t>
      </w:r>
      <w:r>
        <w:rPr>
          <w:rFonts w:hint="eastAsia"/>
          <w:lang w:eastAsia="zh-CN"/>
        </w:rPr>
        <w:t>关于提前下达2024年中央水利发展资金</w:t>
      </w:r>
      <w:r>
        <w:rPr>
          <w:rFonts w:hint="eastAsia"/>
        </w:rPr>
        <w:t>项目</w:t>
      </w:r>
      <w:r>
        <w:t>绩效目标申报表》，本项目202</w:t>
      </w:r>
      <w:r>
        <w:rPr>
          <w:rFonts w:hint="eastAsia"/>
          <w:lang w:val="en-US" w:eastAsia="zh-CN"/>
        </w:rPr>
        <w:t>4</w:t>
      </w:r>
      <w:r>
        <w:t>年度绩效目标</w:t>
      </w:r>
      <w:r>
        <w:rPr>
          <w:rFonts w:hint="eastAsia"/>
        </w:rPr>
        <w:t>具体情况</w:t>
      </w:r>
      <w:r>
        <w:t>见表</w:t>
      </w:r>
      <w:r>
        <w:rPr>
          <w:rFonts w:hint="eastAsia" w:cs="Times New Roman"/>
          <w:lang w:val="en-US" w:eastAsia="zh-CN"/>
        </w:rPr>
        <w:t>2</w:t>
      </w:r>
      <w:r>
        <w:rPr>
          <w:rFonts w:hint="eastAsia"/>
        </w:rPr>
        <w:t>所示：</w:t>
      </w:r>
    </w:p>
    <w:p>
      <w:pPr>
        <w:widowControl/>
        <w:spacing w:line="276" w:lineRule="auto"/>
        <w:ind w:firstLine="0" w:firstLineChars="0"/>
        <w:jc w:val="center"/>
        <w:rPr>
          <w:rFonts w:ascii="宋体" w:hAnsi="宋体" w:eastAsia="宋体" w:cs="Times New Roman"/>
          <w:b/>
          <w:sz w:val="24"/>
          <w:szCs w:val="22"/>
        </w:rPr>
      </w:pPr>
      <w:r>
        <w:rPr>
          <w:rFonts w:ascii="宋体" w:hAnsi="宋体" w:eastAsia="宋体" w:cs="Times New Roman"/>
          <w:b/>
          <w:sz w:val="24"/>
          <w:szCs w:val="22"/>
        </w:rPr>
        <w:t>表</w:t>
      </w:r>
      <w:r>
        <w:rPr>
          <w:rFonts w:hint="eastAsia" w:ascii="宋体" w:hAnsi="宋体" w:eastAsia="宋体" w:cs="Times New Roman"/>
          <w:b/>
          <w:sz w:val="24"/>
          <w:szCs w:val="22"/>
          <w:lang w:val="en-US" w:eastAsia="zh-CN"/>
        </w:rPr>
        <w:t>2</w:t>
      </w:r>
      <w:r>
        <w:rPr>
          <w:rFonts w:hint="eastAsia" w:ascii="宋体" w:hAnsi="宋体" w:eastAsia="宋体" w:cs="Times New Roman"/>
          <w:b/>
          <w:sz w:val="24"/>
          <w:szCs w:val="22"/>
        </w:rPr>
        <w:t xml:space="preserve"> </w:t>
      </w:r>
      <w:r>
        <w:rPr>
          <w:rFonts w:hint="eastAsia" w:ascii="宋体" w:hAnsi="宋体" w:eastAsia="宋体" w:cs="Times New Roman"/>
          <w:b/>
          <w:sz w:val="24"/>
          <w:szCs w:val="22"/>
          <w:lang w:eastAsia="zh-CN"/>
        </w:rPr>
        <w:t>关于提前下达2024年中央水利发展资金</w:t>
      </w:r>
      <w:r>
        <w:rPr>
          <w:rFonts w:ascii="宋体" w:hAnsi="宋体" w:eastAsia="宋体" w:cs="Times New Roman"/>
          <w:b/>
          <w:sz w:val="24"/>
          <w:szCs w:val="22"/>
        </w:rPr>
        <w:t>项目绩效目标表</w:t>
      </w:r>
    </w:p>
    <w:p>
      <w:pPr>
        <w:widowControl/>
        <w:spacing w:line="276" w:lineRule="auto"/>
        <w:ind w:firstLine="0" w:firstLineChars="0"/>
        <w:jc w:val="center"/>
        <w:rPr>
          <w:rFonts w:ascii="宋体" w:hAnsi="宋体" w:eastAsia="宋体" w:cs="Times New Roman"/>
          <w:b/>
          <w:sz w:val="24"/>
          <w:szCs w:val="22"/>
        </w:rPr>
      </w:pPr>
    </w:p>
    <w:tbl>
      <w:tblPr>
        <w:tblStyle w:val="13"/>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843"/>
        <w:gridCol w:w="721"/>
        <w:gridCol w:w="239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097"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项目名称</w:t>
            </w:r>
          </w:p>
        </w:tc>
        <w:tc>
          <w:tcPr>
            <w:tcW w:w="8112" w:type="dxa"/>
            <w:gridSpan w:val="5"/>
            <w:vAlign w:val="center"/>
          </w:tcPr>
          <w:p>
            <w:pPr>
              <w:pStyle w:val="26"/>
              <w:spacing w:line="360" w:lineRule="auto"/>
              <w:ind w:firstLine="0" w:firstLineChars="0"/>
              <w:jc w:val="center"/>
              <w:rPr>
                <w:rFonts w:hint="eastAsia" w:ascii="宋体" w:hAnsi="宋体" w:eastAsia="宋体"/>
                <w:kern w:val="0"/>
                <w:sz w:val="21"/>
              </w:rPr>
            </w:pPr>
            <w:r>
              <w:rPr>
                <w:rFonts w:hint="eastAsia" w:ascii="宋体" w:hAnsi="宋体" w:eastAsia="宋体"/>
                <w:kern w:val="0"/>
                <w:sz w:val="21"/>
                <w:lang w:eastAsia="zh-CN"/>
              </w:rPr>
              <w:t>关于提前下达2024年中央水利发展资金预算的通知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实施单位</w:t>
            </w:r>
          </w:p>
        </w:tc>
        <w:tc>
          <w:tcPr>
            <w:tcW w:w="8112" w:type="dxa"/>
            <w:gridSpan w:val="5"/>
            <w:vAlign w:val="center"/>
          </w:tcPr>
          <w:p>
            <w:pPr>
              <w:pStyle w:val="26"/>
              <w:spacing w:line="360" w:lineRule="auto"/>
              <w:ind w:firstLine="0" w:firstLineChars="0"/>
              <w:jc w:val="center"/>
              <w:rPr>
                <w:rFonts w:hint="eastAsia" w:ascii="宋体" w:hAnsi="宋体" w:eastAsia="宋体"/>
                <w:kern w:val="0"/>
                <w:sz w:val="21"/>
                <w:lang w:eastAsia="zh-CN"/>
              </w:rPr>
            </w:pPr>
            <w:r>
              <w:rPr>
                <w:rFonts w:hint="eastAsia" w:ascii="宋体" w:hAnsi="宋体" w:eastAsia="宋体"/>
                <w:kern w:val="0"/>
                <w:sz w:val="21"/>
                <w:lang w:eastAsia="zh-CN"/>
              </w:rPr>
              <w:t>哈密市伊州区水利局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97" w:type="dxa"/>
            <w:vMerge w:val="restart"/>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项目资金（万元）</w:t>
            </w: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年度资金总额：</w:t>
            </w:r>
          </w:p>
        </w:tc>
        <w:tc>
          <w:tcPr>
            <w:tcW w:w="4098" w:type="dxa"/>
            <w:gridSpan w:val="2"/>
            <w:vAlign w:val="center"/>
          </w:tcPr>
          <w:p>
            <w:pPr>
              <w:pStyle w:val="26"/>
              <w:spacing w:line="360" w:lineRule="auto"/>
              <w:ind w:firstLine="0" w:firstLineChars="0"/>
              <w:jc w:val="center"/>
              <w:rPr>
                <w:rFonts w:cs="Times New Roman"/>
                <w:kern w:val="0"/>
                <w:sz w:val="21"/>
              </w:rPr>
            </w:pPr>
            <w:r>
              <w:rPr>
                <w:rFonts w:hint="eastAsia" w:ascii="Times New Roman" w:hAnsi="Times New Roman" w:cs="Times New Roman"/>
                <w:kern w:val="0"/>
                <w:sz w:val="21"/>
                <w:lang w:val="en-US" w:eastAsia="zh-CN"/>
              </w:rPr>
              <w:t>2682</w:t>
            </w:r>
            <w:r>
              <w:rPr>
                <w:rFonts w:hint="eastAsia" w:ascii="Times New Roman" w:hAnsi="Times New Roman" w:cs="Times New Roman"/>
                <w:kern w:val="0"/>
                <w:sz w:val="21"/>
              </w:rPr>
              <w:t>.5</w:t>
            </w:r>
            <w:r>
              <w:rPr>
                <w:rFonts w:hint="eastAsia" w:ascii="Times New Roman" w:hAnsi="Times New Roman" w:cs="Times New Roman"/>
                <w:kern w:val="0"/>
                <w:sz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6"/>
              <w:spacing w:line="360" w:lineRule="auto"/>
              <w:ind w:firstLine="0" w:firstLineChars="0"/>
              <w:jc w:val="center"/>
              <w:rPr>
                <w:rFonts w:hint="eastAsia" w:ascii="宋体" w:hAnsi="宋体" w:eastAsia="宋体"/>
                <w:b/>
                <w:bCs/>
                <w:kern w:val="0"/>
                <w:sz w:val="21"/>
              </w:rPr>
            </w:pP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其中：财政拨款</w:t>
            </w:r>
          </w:p>
        </w:tc>
        <w:tc>
          <w:tcPr>
            <w:tcW w:w="4098" w:type="dxa"/>
            <w:gridSpan w:val="2"/>
            <w:vAlign w:val="center"/>
          </w:tcPr>
          <w:p>
            <w:pPr>
              <w:pStyle w:val="26"/>
              <w:spacing w:line="360" w:lineRule="auto"/>
              <w:ind w:firstLine="0" w:firstLineChars="0"/>
              <w:jc w:val="center"/>
              <w:rPr>
                <w:rFonts w:cs="Times New Roman"/>
                <w:kern w:val="0"/>
                <w:sz w:val="21"/>
              </w:rPr>
            </w:pPr>
            <w:r>
              <w:rPr>
                <w:rFonts w:hint="eastAsia" w:ascii="Times New Roman" w:hAnsi="Times New Roman" w:cs="Times New Roman"/>
                <w:kern w:val="0"/>
                <w:sz w:val="21"/>
                <w:lang w:val="en-US" w:eastAsia="zh-CN"/>
              </w:rPr>
              <w:t>2682</w:t>
            </w:r>
            <w:r>
              <w:rPr>
                <w:rFonts w:hint="eastAsia" w:ascii="Times New Roman" w:hAnsi="Times New Roman" w:cs="Times New Roman"/>
                <w:kern w:val="0"/>
                <w:sz w:val="21"/>
              </w:rPr>
              <w:t>.5</w:t>
            </w:r>
            <w:r>
              <w:rPr>
                <w:rFonts w:hint="eastAsia" w:ascii="Times New Roman" w:hAnsi="Times New Roman" w:cs="Times New Roman"/>
                <w:kern w:val="0"/>
                <w:sz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pPr>
              <w:pStyle w:val="26"/>
              <w:spacing w:line="360" w:lineRule="auto"/>
              <w:ind w:firstLine="0" w:firstLineChars="0"/>
              <w:jc w:val="center"/>
              <w:rPr>
                <w:rFonts w:hint="eastAsia" w:ascii="宋体" w:hAnsi="宋体" w:eastAsia="宋体"/>
                <w:b/>
                <w:bCs/>
                <w:kern w:val="0"/>
                <w:sz w:val="21"/>
              </w:rPr>
            </w:pPr>
          </w:p>
        </w:tc>
        <w:tc>
          <w:tcPr>
            <w:tcW w:w="4014" w:type="dxa"/>
            <w:gridSpan w:val="3"/>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其他资金</w:t>
            </w:r>
          </w:p>
        </w:tc>
        <w:tc>
          <w:tcPr>
            <w:tcW w:w="4098" w:type="dxa"/>
            <w:gridSpan w:val="2"/>
            <w:vAlign w:val="center"/>
          </w:tcPr>
          <w:p>
            <w:pPr>
              <w:pStyle w:val="26"/>
              <w:spacing w:line="360" w:lineRule="auto"/>
              <w:ind w:firstLine="0" w:firstLineChars="0"/>
              <w:jc w:val="center"/>
              <w:rPr>
                <w:rFonts w:cs="Times New Roman"/>
                <w:kern w:val="0"/>
                <w:sz w:val="21"/>
              </w:rPr>
            </w:pPr>
            <w:r>
              <w:rPr>
                <w:rFonts w:cs="Times New Roman"/>
                <w:kern w:val="0"/>
                <w:sz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总体目标</w:t>
            </w:r>
          </w:p>
        </w:tc>
        <w:tc>
          <w:tcPr>
            <w:tcW w:w="8112" w:type="dxa"/>
            <w:gridSpan w:val="5"/>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年度绩效目标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97" w:type="dxa"/>
            <w:vMerge w:val="continue"/>
          </w:tcPr>
          <w:p>
            <w:pPr>
              <w:pStyle w:val="26"/>
              <w:ind w:firstLine="0" w:firstLineChars="0"/>
              <w:rPr>
                <w:rFonts w:ascii="仿宋_GB2312"/>
                <w:kern w:val="0"/>
                <w:sz w:val="22"/>
                <w:szCs w:val="22"/>
              </w:rPr>
            </w:pPr>
          </w:p>
        </w:tc>
        <w:tc>
          <w:tcPr>
            <w:tcW w:w="8112" w:type="dxa"/>
            <w:gridSpan w:val="5"/>
            <w:vAlign w:val="center"/>
          </w:tcPr>
          <w:p>
            <w:pPr>
              <w:pStyle w:val="26"/>
              <w:spacing w:line="240" w:lineRule="auto"/>
              <w:ind w:firstLine="0" w:firstLineChars="0"/>
              <w:rPr>
                <w:rFonts w:eastAsia="宋体" w:cs="Times New Roman"/>
                <w:kern w:val="0"/>
                <w:sz w:val="21"/>
              </w:rPr>
            </w:pPr>
            <w:r>
              <w:rPr>
                <w:rFonts w:hint="eastAsia" w:eastAsia="宋体" w:cs="Times New Roman"/>
                <w:kern w:val="0"/>
                <w:sz w:val="21"/>
              </w:rPr>
              <w:t>开展有关水利建设和维修养护及地表水置换地下水工程，推动水利改革发展。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Merge w:val="restart"/>
          </w:tcPr>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绩效指标</w:t>
            </w:r>
          </w:p>
        </w:tc>
        <w:tc>
          <w:tcPr>
            <w:tcW w:w="1450"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一级指标</w:t>
            </w:r>
          </w:p>
        </w:tc>
        <w:tc>
          <w:tcPr>
            <w:tcW w:w="1843"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二级指标</w:t>
            </w:r>
          </w:p>
        </w:tc>
        <w:tc>
          <w:tcPr>
            <w:tcW w:w="3118" w:type="dxa"/>
            <w:gridSpan w:val="2"/>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三级指标</w:t>
            </w:r>
          </w:p>
        </w:tc>
        <w:tc>
          <w:tcPr>
            <w:tcW w:w="1701"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restart"/>
          </w:tcPr>
          <w:p>
            <w:pPr>
              <w:pStyle w:val="26"/>
              <w:ind w:firstLine="0" w:firstLineChars="0"/>
              <w:jc w:val="center"/>
              <w:rPr>
                <w:rFonts w:hint="eastAsia" w:ascii="宋体" w:hAnsi="宋体" w:eastAsia="宋体"/>
                <w:b/>
                <w:bCs/>
                <w:kern w:val="0"/>
                <w:sz w:val="21"/>
              </w:rPr>
            </w:pPr>
          </w:p>
          <w:p>
            <w:pPr>
              <w:pStyle w:val="26"/>
              <w:ind w:firstLine="0" w:firstLineChars="0"/>
              <w:jc w:val="center"/>
              <w:rPr>
                <w:rFonts w:hint="eastAsia" w:ascii="宋体" w:hAnsi="宋体" w:eastAsia="宋体"/>
                <w:b/>
                <w:bCs/>
                <w:kern w:val="0"/>
                <w:sz w:val="21"/>
              </w:rPr>
            </w:pPr>
            <w:r>
              <w:rPr>
                <w:rFonts w:hint="eastAsia" w:ascii="宋体" w:hAnsi="宋体" w:eastAsia="宋体"/>
                <w:b/>
                <w:bCs/>
                <w:kern w:val="0"/>
                <w:sz w:val="21"/>
              </w:rPr>
              <w:t>产出指标</w:t>
            </w:r>
          </w:p>
        </w:tc>
        <w:tc>
          <w:tcPr>
            <w:tcW w:w="1843" w:type="dxa"/>
            <w:vMerge w:val="restart"/>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数量指标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kern w:val="0"/>
                <w:sz w:val="21"/>
              </w:rPr>
            </w:pPr>
            <w:r>
              <w:rPr>
                <w:rFonts w:hint="eastAsia" w:ascii="宋体" w:hAnsi="宋体" w:eastAsia="宋体" w:cs="宋体"/>
                <w:i w:val="0"/>
                <w:iCs w:val="0"/>
                <w:color w:val="000000"/>
                <w:kern w:val="0"/>
                <w:sz w:val="21"/>
                <w:szCs w:val="21"/>
                <w:u w:val="none"/>
                <w:lang w:val="en-US" w:eastAsia="zh-CN"/>
              </w:rPr>
              <w:t>农村饮水工程维修养护数量</w:t>
            </w:r>
          </w:p>
        </w:tc>
        <w:tc>
          <w:tcPr>
            <w:tcW w:w="1701" w:type="dxa"/>
            <w:vAlign w:val="center"/>
          </w:tcPr>
          <w:p>
            <w:pPr>
              <w:pStyle w:val="26"/>
              <w:spacing w:line="240" w:lineRule="auto"/>
              <w:ind w:firstLine="0" w:firstLineChars="0"/>
              <w:jc w:val="center"/>
              <w:rPr>
                <w:rFonts w:hint="eastAsia" w:eastAsia="宋体" w:cs="Times New Roman"/>
                <w:kern w:val="0"/>
                <w:sz w:val="21"/>
                <w:lang w:eastAsia="zh-CN"/>
              </w:rPr>
            </w:pPr>
            <w:r>
              <w:rPr>
                <w:rFonts w:eastAsia="宋体" w:cs="Times New Roman"/>
                <w:kern w:val="0"/>
                <w:sz w:val="21"/>
              </w:rPr>
              <w:t>&gt;=</w:t>
            </w:r>
            <w:r>
              <w:rPr>
                <w:rFonts w:hint="eastAsia" w:eastAsia="宋体" w:cs="Times New Roman"/>
                <w:kern w:val="0"/>
                <w:sz w:val="21"/>
                <w:lang w:val="en-US" w:eastAsia="zh-CN"/>
              </w:rPr>
              <w:t>3处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vMerge w:val="continue"/>
          </w:tcPr>
          <w:p>
            <w:pPr>
              <w:pStyle w:val="26"/>
              <w:spacing w:line="360" w:lineRule="auto"/>
              <w:ind w:firstLine="0" w:firstLineChars="0"/>
              <w:jc w:val="center"/>
              <w:rPr>
                <w:rFonts w:hint="eastAsia" w:ascii="宋体" w:hAnsi="宋体" w:eastAsia="宋体"/>
                <w:b/>
                <w:bCs/>
                <w:kern w:val="0"/>
                <w:sz w:val="21"/>
              </w:rPr>
            </w:pP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小型水库工程维修养护座数</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&gt;=16座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vMerge w:val="continue"/>
          </w:tcPr>
          <w:p>
            <w:pPr>
              <w:pStyle w:val="26"/>
              <w:spacing w:line="360" w:lineRule="auto"/>
              <w:ind w:firstLine="0" w:firstLineChars="0"/>
              <w:jc w:val="center"/>
              <w:rPr>
                <w:rFonts w:hint="eastAsia" w:ascii="宋体" w:hAnsi="宋体" w:eastAsia="宋体"/>
                <w:b/>
                <w:bCs/>
                <w:kern w:val="0"/>
                <w:sz w:val="21"/>
              </w:rPr>
            </w:pP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山洪灾害防治非工程措施设施维修养护个数</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质量指标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工程验收合格率</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Merge w:val="continue"/>
          </w:tcPr>
          <w:p>
            <w:pPr>
              <w:pStyle w:val="26"/>
              <w:ind w:firstLine="0" w:firstLineChars="0"/>
              <w:jc w:val="center"/>
              <w:rPr>
                <w:rFonts w:hint="eastAsia" w:ascii="宋体" w:hAnsi="宋体" w:eastAsia="宋体"/>
                <w:b/>
                <w:bCs/>
                <w:kern w:val="0"/>
                <w:sz w:val="21"/>
              </w:rPr>
            </w:pPr>
          </w:p>
        </w:tc>
        <w:tc>
          <w:tcPr>
            <w:tcW w:w="1843" w:type="dxa"/>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时效指标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工程进度按期完成率</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36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成本指标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经济成本指标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水利工程建设维护费用</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&lt;=2682.5万元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效益指标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lang w:val="en-US" w:eastAsia="zh-CN"/>
              </w:rPr>
              <w:t>社会</w:t>
            </w:r>
            <w:r>
              <w:rPr>
                <w:rFonts w:hint="eastAsia" w:ascii="宋体" w:hAnsi="宋体" w:eastAsia="宋体"/>
                <w:b/>
                <w:bCs/>
                <w:kern w:val="0"/>
                <w:sz w:val="21"/>
              </w:rPr>
              <w:t>效益指标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解决农村饮水工程水质存在问题的工程数量</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&gt;=1处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7" w:type="dxa"/>
            <w:vMerge w:val="continue"/>
          </w:tcPr>
          <w:p>
            <w:pPr>
              <w:pStyle w:val="26"/>
              <w:ind w:firstLine="0" w:firstLineChars="0"/>
              <w:jc w:val="center"/>
              <w:rPr>
                <w:rFonts w:hint="eastAsia" w:ascii="宋体" w:hAnsi="宋体" w:eastAsia="宋体"/>
                <w:b/>
                <w:bCs/>
                <w:kern w:val="0"/>
                <w:sz w:val="21"/>
              </w:rPr>
            </w:pPr>
          </w:p>
        </w:tc>
        <w:tc>
          <w:tcPr>
            <w:tcW w:w="1450"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满意度指标</w:t>
            </w:r>
          </w:p>
        </w:tc>
        <w:tc>
          <w:tcPr>
            <w:tcW w:w="1843" w:type="dxa"/>
            <w:vAlign w:val="center"/>
          </w:tcPr>
          <w:p>
            <w:pPr>
              <w:pStyle w:val="26"/>
              <w:spacing w:line="240" w:lineRule="auto"/>
              <w:ind w:firstLine="0" w:firstLineChars="0"/>
              <w:jc w:val="center"/>
              <w:rPr>
                <w:rFonts w:hint="eastAsia" w:ascii="宋体" w:hAnsi="宋体" w:eastAsia="宋体"/>
                <w:b/>
                <w:bCs/>
                <w:kern w:val="0"/>
                <w:sz w:val="21"/>
              </w:rPr>
            </w:pPr>
            <w:r>
              <w:rPr>
                <w:rFonts w:hint="eastAsia" w:ascii="宋体" w:hAnsi="宋体" w:eastAsia="宋体"/>
                <w:b/>
                <w:bCs/>
                <w:kern w:val="0"/>
                <w:sz w:val="21"/>
              </w:rPr>
              <w:t>满意度指标</w:t>
            </w:r>
          </w:p>
        </w:tc>
        <w:tc>
          <w:tcPr>
            <w:tcW w:w="3118" w:type="dxa"/>
            <w:gridSpan w:val="2"/>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工程受益群众满意度</w:t>
            </w:r>
          </w:p>
        </w:tc>
        <w:tc>
          <w:tcPr>
            <w:tcW w:w="1701" w:type="dxa"/>
            <w:vAlign w:val="center"/>
          </w:tcPr>
          <w:p>
            <w:pPr>
              <w:pStyle w:val="26"/>
              <w:spacing w:line="240" w:lineRule="auto"/>
              <w:ind w:firstLine="0" w:firstLineChars="0"/>
              <w:jc w:val="center"/>
              <w:rPr>
                <w:rFonts w:ascii="Times New Roman" w:hAnsi="Times New Roman" w:eastAsia="宋体" w:cs="Times New Roman"/>
                <w:kern w:val="0"/>
                <w:sz w:val="21"/>
              </w:rPr>
            </w:pPr>
            <w:r>
              <w:rPr>
                <w:rFonts w:hint="eastAsia" w:ascii="Times New Roman" w:hAnsi="Times New Roman" w:eastAsia="宋体" w:cs="Times New Roman"/>
                <w:kern w:val="0"/>
                <w:sz w:val="21"/>
                <w:lang w:val="en-US" w:eastAsia="zh-CN"/>
              </w:rPr>
              <w:t>&gt;=90%</w:t>
            </w:r>
          </w:p>
        </w:tc>
      </w:tr>
    </w:tbl>
    <w:p>
      <w:pPr>
        <w:pStyle w:val="29"/>
        <w:spacing w:before="0" w:after="0"/>
      </w:pPr>
      <w:bookmarkStart w:id="3" w:name="_Toc172283511"/>
      <w:r>
        <w:rPr>
          <w:rFonts w:hint="eastAsia"/>
        </w:rPr>
        <w:t>二、绩效评价工作开展情况</w:t>
      </w:r>
      <w:bookmarkEnd w:id="3"/>
    </w:p>
    <w:p>
      <w:pPr>
        <w:pStyle w:val="31"/>
        <w:spacing w:before="0" w:after="0"/>
        <w:ind w:firstLine="643"/>
        <w:rPr>
          <w:rFonts w:hint="eastAsia"/>
          <w:b/>
          <w:bCs w:val="0"/>
        </w:rPr>
      </w:pPr>
      <w:bookmarkStart w:id="4" w:name="_Toc172283512"/>
      <w:r>
        <w:rPr>
          <w:rFonts w:hint="eastAsia"/>
          <w:b/>
          <w:bCs w:val="0"/>
        </w:rPr>
        <w:t>（一）绩效评价的目的、对象和范围</w:t>
      </w:r>
      <w:bookmarkEnd w:id="4"/>
    </w:p>
    <w:p>
      <w:pPr>
        <w:pStyle w:val="26"/>
        <w:ind w:firstLine="640"/>
      </w:pPr>
      <w:r>
        <w:rPr>
          <w:rFonts w:hint="eastAsia"/>
        </w:rPr>
        <w:t>1.绩效评价目的</w:t>
      </w:r>
    </w:p>
    <w:p>
      <w:pPr>
        <w:pStyle w:val="26"/>
        <w:ind w:firstLine="640"/>
      </w:pPr>
      <w:r>
        <w:rPr>
          <w:rFonts w:hint="eastAsia"/>
        </w:rPr>
        <w:t>本次评价以</w:t>
      </w:r>
      <w:r>
        <w:rPr>
          <w:rFonts w:hint="eastAsia"/>
          <w:szCs w:val="32"/>
          <w:lang w:eastAsia="zh-CN"/>
        </w:rPr>
        <w:t>相关</w:t>
      </w:r>
      <w:r>
        <w:t>文件</w:t>
      </w:r>
      <w:r>
        <w:rPr>
          <w:rFonts w:hint="eastAsia"/>
        </w:rPr>
        <w:t>为依据，对</w:t>
      </w:r>
      <w:r>
        <w:rPr>
          <w:rFonts w:hint="eastAsia"/>
          <w:lang w:eastAsia="zh-CN"/>
        </w:rPr>
        <w:t>关于提前下达2024年中央水利发展资金</w:t>
      </w:r>
      <w:r>
        <w:rPr>
          <w:rFonts w:hint="eastAsia"/>
        </w:rPr>
        <w:t>项目财政专项资金使用绩效情况进行评价。开展此次评价工作的目的在于：</w:t>
      </w:r>
    </w:p>
    <w:p>
      <w:pPr>
        <w:pStyle w:val="26"/>
        <w:ind w:firstLine="640"/>
      </w:pPr>
      <w:r>
        <w:rPr>
          <w:rFonts w:hint="eastAsia"/>
        </w:rPr>
        <w:t>（</w:t>
      </w:r>
      <w:r>
        <w:t>1）通过</w:t>
      </w:r>
      <w:r>
        <w:rPr>
          <w:rFonts w:hint="eastAsia"/>
        </w:rPr>
        <w:t>对</w:t>
      </w:r>
      <w:r>
        <w:rPr>
          <w:rFonts w:hint="eastAsia"/>
          <w:lang w:eastAsia="zh-CN"/>
        </w:rPr>
        <w:t>关于提前下达2024年中央水利发展资金</w:t>
      </w:r>
      <w:r>
        <w:rPr>
          <w:rFonts w:hint="eastAsia"/>
        </w:rPr>
        <w:t>项目</w:t>
      </w:r>
      <w:r>
        <w:t>的实施情况进行核实评价，了解掌握项目的实施情况。</w:t>
      </w:r>
    </w:p>
    <w:p>
      <w:pPr>
        <w:pStyle w:val="26"/>
        <w:ind w:firstLine="640"/>
      </w:pPr>
      <w:r>
        <w:rPr>
          <w:rFonts w:hint="eastAsia"/>
        </w:rPr>
        <w:t>（</w:t>
      </w:r>
      <w:r>
        <w:t>2）根据项目实施的具体情况，评价其项目资金安排的科学性、合理性、规范性，完善项目管理办法，提高项目管理水平和资金的使用效率。</w:t>
      </w:r>
    </w:p>
    <w:p>
      <w:pPr>
        <w:pStyle w:val="26"/>
        <w:ind w:firstLine="640"/>
      </w:pPr>
      <w:r>
        <w:rPr>
          <w:rFonts w:hint="eastAsia"/>
        </w:rPr>
        <w:t>（</w:t>
      </w:r>
      <w:r>
        <w:t>3）</w:t>
      </w:r>
      <w:r>
        <w:rPr>
          <w:rFonts w:hint="eastAsia"/>
        </w:rPr>
        <w:t>按照</w:t>
      </w:r>
      <w:r>
        <w:rPr>
          <w:rFonts w:hint="eastAsia"/>
          <w:szCs w:val="32"/>
          <w:lang w:eastAsia="zh-CN"/>
        </w:rPr>
        <w:t>相关</w:t>
      </w:r>
      <w:r>
        <w:t>文件及绩效评价指标体系的要求，从投入、过程、产出、效</w:t>
      </w:r>
      <w:r>
        <w:rPr>
          <w:rFonts w:hint="eastAsia"/>
        </w:rPr>
        <w:t>益</w:t>
      </w:r>
      <w:r>
        <w:t>四个方面对</w:t>
      </w:r>
      <w:r>
        <w:rPr>
          <w:rFonts w:hint="eastAsia"/>
          <w:lang w:eastAsia="zh-CN"/>
        </w:rPr>
        <w:t>关于提前下达2024年中央水利发展资金</w:t>
      </w:r>
      <w:r>
        <w:rPr>
          <w:rFonts w:hint="eastAsia"/>
        </w:rPr>
        <w:t>项目</w:t>
      </w:r>
      <w:r>
        <w:t>进行客观、公正的评价；总结项目管理与执行经验，发现项目管理和预算管理中存在的问题，提出改进意见和建议，为相关部门决策、管理提供参考依据。</w:t>
      </w:r>
    </w:p>
    <w:p>
      <w:pPr>
        <w:pStyle w:val="26"/>
        <w:ind w:firstLine="640"/>
      </w:pPr>
      <w:r>
        <w:rPr>
          <w:rFonts w:hint="eastAsia"/>
        </w:rPr>
        <w:t>（</w:t>
      </w:r>
      <w:r>
        <w:t>4）进一步丰富和完善</w:t>
      </w:r>
      <w:r>
        <w:rPr>
          <w:rFonts w:hint="eastAsia"/>
          <w:lang w:eastAsia="zh-CN"/>
        </w:rPr>
        <w:t>关于提前下达2024年中央水利发展资金</w:t>
      </w:r>
      <w:r>
        <w:rPr>
          <w:rFonts w:hint="eastAsia"/>
        </w:rPr>
        <w:t>项目</w:t>
      </w:r>
      <w:r>
        <w:t>绩效评价方法体系，推动建立以绩效评价结果为导向的财政资金分配与管理制度，提升财政资金科学化、精细化管理水平，为</w:t>
      </w:r>
      <w:r>
        <w:rPr>
          <w:rFonts w:hint="eastAsia"/>
          <w:lang w:eastAsia="zh-CN"/>
        </w:rPr>
        <w:t>关于提前下达2024年中央水利发展资金</w:t>
      </w:r>
      <w:r>
        <w:rPr>
          <w:rFonts w:hint="eastAsia"/>
        </w:rPr>
        <w:t>项目</w:t>
      </w:r>
      <w:r>
        <w:t>专项资金的安排提供重要依据。</w:t>
      </w:r>
    </w:p>
    <w:p>
      <w:pPr>
        <w:pStyle w:val="26"/>
        <w:ind w:firstLine="640"/>
      </w:pPr>
      <w:r>
        <w:rPr>
          <w:rFonts w:hint="eastAsia"/>
        </w:rPr>
        <w:t>2.绩效评价对象和范围</w:t>
      </w:r>
    </w:p>
    <w:p>
      <w:pPr>
        <w:pStyle w:val="26"/>
        <w:ind w:firstLine="640"/>
      </w:pPr>
      <w:r>
        <w:rPr>
          <w:rFonts w:hint="eastAsia"/>
        </w:rPr>
        <w:t>本次绩效评价针对</w:t>
      </w:r>
      <w:r>
        <w:rPr>
          <w:rFonts w:hint="eastAsia"/>
          <w:lang w:eastAsia="zh-CN"/>
        </w:rPr>
        <w:t>关于提前下达2024年中央水利发展资金</w:t>
      </w:r>
      <w:r>
        <w:rPr>
          <w:rFonts w:hint="eastAsia"/>
        </w:rPr>
        <w:t>项目展开，主要评价内容及范围如下：</w:t>
      </w:r>
    </w:p>
    <w:p>
      <w:pPr>
        <w:pStyle w:val="26"/>
        <w:ind w:firstLine="640"/>
      </w:pPr>
      <w:r>
        <w:rPr>
          <w:rFonts w:hint="eastAsia"/>
        </w:rPr>
        <w:t>（</w:t>
      </w:r>
      <w:r>
        <w:t>1）立项依据和立项程序情况；</w:t>
      </w:r>
    </w:p>
    <w:p>
      <w:pPr>
        <w:pStyle w:val="26"/>
        <w:ind w:firstLine="640"/>
      </w:pPr>
      <w:r>
        <w:rPr>
          <w:rFonts w:hint="eastAsia"/>
        </w:rPr>
        <w:t>（</w:t>
      </w:r>
      <w:r>
        <w:t>2）绩效目标和指标设定情况；</w:t>
      </w:r>
    </w:p>
    <w:p>
      <w:pPr>
        <w:pStyle w:val="26"/>
        <w:ind w:firstLine="640"/>
      </w:pPr>
      <w:r>
        <w:rPr>
          <w:rFonts w:hint="eastAsia"/>
        </w:rPr>
        <w:t>（</w:t>
      </w:r>
      <w:r>
        <w:t>3）预算编制和资金分配情况；</w:t>
      </w:r>
    </w:p>
    <w:p>
      <w:pPr>
        <w:pStyle w:val="26"/>
        <w:ind w:firstLine="640"/>
      </w:pPr>
      <w:r>
        <w:rPr>
          <w:rFonts w:hint="eastAsia"/>
        </w:rPr>
        <w:t>（</w:t>
      </w:r>
      <w:r>
        <w:t>4）资金管理和使用情况；</w:t>
      </w:r>
    </w:p>
    <w:p>
      <w:pPr>
        <w:pStyle w:val="26"/>
        <w:ind w:firstLine="640"/>
      </w:pPr>
      <w:r>
        <w:rPr>
          <w:rFonts w:hint="eastAsia"/>
        </w:rPr>
        <w:t>（</w:t>
      </w:r>
      <w:r>
        <w:t>5）相关制度办法的健全性及执行情况；</w:t>
      </w:r>
    </w:p>
    <w:p>
      <w:pPr>
        <w:pStyle w:val="26"/>
        <w:ind w:firstLine="640"/>
      </w:pPr>
      <w:r>
        <w:rPr>
          <w:rFonts w:hint="eastAsia"/>
        </w:rPr>
        <w:t>（</w:t>
      </w:r>
      <w:r>
        <w:t>6）实现的产出情况；</w:t>
      </w:r>
    </w:p>
    <w:p>
      <w:pPr>
        <w:pStyle w:val="26"/>
        <w:ind w:firstLine="640"/>
      </w:pPr>
      <w:r>
        <w:rPr>
          <w:rFonts w:hint="eastAsia"/>
        </w:rPr>
        <w:t>（</w:t>
      </w:r>
      <w:r>
        <w:t>7）取得的效益情况；</w:t>
      </w:r>
    </w:p>
    <w:p>
      <w:pPr>
        <w:pStyle w:val="26"/>
        <w:ind w:firstLine="640"/>
      </w:pPr>
      <w:r>
        <w:rPr>
          <w:rFonts w:hint="eastAsia"/>
        </w:rPr>
        <w:t>（</w:t>
      </w:r>
      <w:r>
        <w:t>8）其他相关内容。</w:t>
      </w:r>
    </w:p>
    <w:p>
      <w:pPr>
        <w:pStyle w:val="31"/>
        <w:spacing w:before="0" w:after="0"/>
        <w:ind w:firstLine="643"/>
        <w:rPr>
          <w:rFonts w:hint="eastAsia"/>
          <w:b/>
          <w:bCs w:val="0"/>
        </w:rPr>
      </w:pPr>
      <w:bookmarkStart w:id="5" w:name="_Toc172283513"/>
      <w:r>
        <w:rPr>
          <w:rFonts w:hint="eastAsia"/>
          <w:b/>
          <w:bCs w:val="0"/>
        </w:rPr>
        <w:t>（二）</w:t>
      </w:r>
      <w:r>
        <w:rPr>
          <w:b/>
          <w:bCs w:val="0"/>
        </w:rPr>
        <w:t>绩效评价</w:t>
      </w:r>
      <w:r>
        <w:rPr>
          <w:rFonts w:hint="eastAsia"/>
          <w:b/>
          <w:bCs w:val="0"/>
        </w:rPr>
        <w:t>原则、评价指标体系、评价方法</w:t>
      </w:r>
      <w:bookmarkEnd w:id="5"/>
    </w:p>
    <w:p>
      <w:pPr>
        <w:pStyle w:val="26"/>
        <w:ind w:firstLine="640"/>
      </w:pPr>
      <w:r>
        <w:t>1.绩效评价原则</w:t>
      </w:r>
    </w:p>
    <w:p>
      <w:pPr>
        <w:pStyle w:val="26"/>
        <w:ind w:firstLine="640"/>
      </w:pPr>
      <w:r>
        <w:rPr>
          <w:rFonts w:hint="eastAsia"/>
        </w:rPr>
        <w:t>（</w:t>
      </w:r>
      <w:r>
        <w:t>1）坚持科学规范的原则。此次绩效评价运用科学合理的评价指标体系和方法，按照规范的程序，对支出绩效进行客观、公正的反映。</w:t>
      </w:r>
    </w:p>
    <w:p>
      <w:pPr>
        <w:pStyle w:val="26"/>
        <w:ind w:firstLine="640"/>
      </w:pPr>
      <w:r>
        <w:rPr>
          <w:rFonts w:hint="eastAsia"/>
        </w:rPr>
        <w:t>（</w:t>
      </w:r>
      <w:r>
        <w:t>2</w:t>
      </w:r>
      <w:r>
        <w:rPr>
          <w:rFonts w:hint="eastAsia"/>
        </w:rPr>
        <w:t>）坚持统筹兼顾的原则。此次评价委托第三方机构在单位自评的基础上开展。</w:t>
      </w:r>
    </w:p>
    <w:p>
      <w:pPr>
        <w:pStyle w:val="26"/>
        <w:ind w:firstLine="640"/>
      </w:pPr>
      <w:r>
        <w:rPr>
          <w:rFonts w:hint="eastAsia"/>
        </w:rPr>
        <w:t>（</w:t>
      </w:r>
      <w:r>
        <w:t>3</w:t>
      </w:r>
      <w:r>
        <w:rPr>
          <w:rFonts w:hint="eastAsia"/>
        </w:rPr>
        <w:t>）坚持激励约束的原则。本次绩效评价结果可以作为预算安排、政策调整、改进管理的参考，绩效评价工作将体现奖优罚劣和激励相容导向，有效要安排、低效要压减、无效要问责。</w:t>
      </w:r>
    </w:p>
    <w:p>
      <w:pPr>
        <w:pStyle w:val="26"/>
        <w:ind w:firstLine="640"/>
      </w:pPr>
      <w:r>
        <w:rPr>
          <w:rFonts w:hint="eastAsia"/>
        </w:rPr>
        <w:t>（</w:t>
      </w:r>
      <w:r>
        <w:t>4</w:t>
      </w:r>
      <w:r>
        <w:rPr>
          <w:rFonts w:hint="eastAsia"/>
        </w:rPr>
        <w:t>）坚持公开透明的原则。承诺绩效评价结果依法依规公开，自觉接受有关机构和社会监督。</w:t>
      </w:r>
    </w:p>
    <w:p>
      <w:pPr>
        <w:pStyle w:val="26"/>
        <w:ind w:firstLine="640"/>
      </w:pPr>
      <w:r>
        <w:rPr>
          <w:rFonts w:hint="eastAsia"/>
        </w:rPr>
        <w:t>（</w:t>
      </w:r>
      <w:r>
        <w:t>5）坚持综合绩效评价，定量分析与定性分析相结合的原则。</w:t>
      </w:r>
    </w:p>
    <w:p>
      <w:pPr>
        <w:pStyle w:val="26"/>
        <w:ind w:firstLine="640"/>
      </w:pPr>
      <w:r>
        <w:rPr>
          <w:rFonts w:hint="eastAsia"/>
        </w:rPr>
        <w:t>（</w:t>
      </w:r>
      <w:r>
        <w:t>6）坚持绩效相关性原则。此次绩效评价将针对具体支出及其产出绩效进行，评价结果将清晰反映支出和产出绩效之间的紧密对应关系。</w:t>
      </w:r>
    </w:p>
    <w:p>
      <w:pPr>
        <w:pStyle w:val="26"/>
        <w:ind w:firstLine="640"/>
      </w:pPr>
      <w:r>
        <w:rPr>
          <w:rFonts w:hint="eastAsia"/>
        </w:rPr>
        <w:t>2.评价指标体系</w:t>
      </w:r>
    </w:p>
    <w:p>
      <w:pPr>
        <w:pStyle w:val="26"/>
        <w:ind w:firstLine="640"/>
      </w:pPr>
      <w:r>
        <w:rPr>
          <w:rFonts w:hint="eastAsia"/>
        </w:rPr>
        <w:t>（</w:t>
      </w:r>
      <w:r>
        <w:t>1）</w:t>
      </w:r>
      <w:r>
        <w:rPr>
          <w:rFonts w:hint="eastAsia"/>
        </w:rPr>
        <w:t>指标体系设计思路</w:t>
      </w:r>
    </w:p>
    <w:p>
      <w:pPr>
        <w:pStyle w:val="26"/>
        <w:ind w:firstLine="640"/>
      </w:pPr>
      <w:r>
        <w:rPr>
          <w:rFonts w:hint="eastAsia"/>
        </w:rPr>
        <w:t>根据绩效评价的基本原理、原则和该项目特点，结合绩效目标，由</w:t>
      </w:r>
      <w:r>
        <w:t>绩效评价项目组（以下简称“评价组”）</w:t>
      </w:r>
      <w:r>
        <w:rPr>
          <w:rFonts w:hint="eastAsia"/>
        </w:rPr>
        <w:t>独立研制科学的指标体系。评价指标体系按照逻辑分析法设计，包括项目决策、项目过程、项目产出、项目效益四部分内容，力求全面考察项目决策、资金投入、过程管理、产出效果和社会效益，体现从项目本身、执行到效果的逻辑路径。评价指标体系是评价的依据，评价数据通过基础表、问卷、访谈等方式获取。</w:t>
      </w:r>
    </w:p>
    <w:p>
      <w:pPr>
        <w:pStyle w:val="26"/>
        <w:ind w:firstLine="640"/>
      </w:pPr>
      <w:r>
        <w:rPr>
          <w:rFonts w:hint="eastAsia"/>
        </w:rPr>
        <w:t>（2</w:t>
      </w:r>
      <w:r>
        <w:t>）</w:t>
      </w:r>
      <w:r>
        <w:rPr>
          <w:rFonts w:hint="eastAsia"/>
        </w:rPr>
        <w:t>指标解释</w:t>
      </w:r>
    </w:p>
    <w:p>
      <w:pPr>
        <w:pStyle w:val="26"/>
        <w:ind w:firstLine="640"/>
      </w:pPr>
      <w:r>
        <w:rPr>
          <w:rFonts w:hint="eastAsia"/>
        </w:rPr>
        <w:t>1）权重</w:t>
      </w:r>
    </w:p>
    <w:p>
      <w:pPr>
        <w:pStyle w:val="26"/>
        <w:ind w:firstLine="640"/>
      </w:pPr>
      <w:r>
        <w:rPr>
          <w:rFonts w:hint="eastAsia"/>
        </w:rPr>
        <w:t>本项目评价指标体系各指标的权重由评价组根据项目评价需求，在调研基础上依据指标的重要性进行分配。</w:t>
      </w:r>
    </w:p>
    <w:p>
      <w:pPr>
        <w:pStyle w:val="26"/>
        <w:ind w:firstLine="640"/>
      </w:pPr>
      <w:r>
        <w:rPr>
          <w:rFonts w:hint="eastAsia"/>
        </w:rPr>
        <w:t>2）评价标准</w:t>
      </w:r>
    </w:p>
    <w:p>
      <w:pPr>
        <w:pStyle w:val="26"/>
        <w:ind w:firstLine="640"/>
      </w:pPr>
      <w:r>
        <w:rPr>
          <w:rFonts w:hint="eastAsia"/>
        </w:rPr>
        <w:t>本项目评价指标体系的评价标准按照计划标准、行业标准、历史标准等制定。对于定性指标，一般通过问卷及访谈采集相关数据，在实施过程中运用等级描述法进行考核，通过设置分级标准来体现该指标认可程度的差异。对于定量指标，一般通过公式等方式予以量化，可以准确数量定义、精确衡量并能设定目标值的考核指标。</w:t>
      </w:r>
    </w:p>
    <w:p>
      <w:pPr>
        <w:pStyle w:val="26"/>
        <w:ind w:firstLine="640"/>
      </w:pPr>
      <w:r>
        <w:rPr>
          <w:rFonts w:hint="eastAsia"/>
        </w:rPr>
        <w:t>3）指标体系</w:t>
      </w:r>
    </w:p>
    <w:p>
      <w:pPr>
        <w:pStyle w:val="26"/>
        <w:ind w:firstLine="640"/>
      </w:pPr>
      <w:r>
        <w:rPr>
          <w:rFonts w:hint="eastAsia"/>
        </w:rPr>
        <w:t>根据</w:t>
      </w:r>
      <w:r>
        <w:rPr>
          <w:rFonts w:hint="eastAsia"/>
          <w:szCs w:val="32"/>
          <w:lang w:eastAsia="zh-CN"/>
        </w:rPr>
        <w:t>相关管理办法</w:t>
      </w:r>
      <w:r>
        <w:rPr>
          <w:rFonts w:hint="eastAsia"/>
          <w:lang w:eastAsia="zh-CN"/>
        </w:rPr>
        <w:t>、</w:t>
      </w:r>
      <w:r>
        <w:t>相关文件要求，本次专项资金的评价指标体系包括评价指标、权重</w:t>
      </w:r>
      <w:r>
        <w:rPr>
          <w:rFonts w:hint="eastAsia"/>
        </w:rPr>
        <w:t>、</w:t>
      </w:r>
      <w:r>
        <w:t>指标解释、</w:t>
      </w:r>
      <w:r>
        <w:rPr>
          <w:rFonts w:hint="eastAsia"/>
        </w:rPr>
        <w:t>标杆值、评分依据</w:t>
      </w:r>
      <w:r>
        <w:t>、评分标准，完整的绩效评价指标体系及评分过程详见附件1。</w:t>
      </w:r>
    </w:p>
    <w:p>
      <w:pPr>
        <w:pStyle w:val="31"/>
        <w:spacing w:before="0" w:after="0"/>
        <w:ind w:firstLine="643"/>
        <w:rPr>
          <w:rFonts w:hint="eastAsia"/>
          <w:b/>
          <w:bCs w:val="0"/>
        </w:rPr>
      </w:pPr>
      <w:bookmarkStart w:id="6" w:name="_Toc172283514"/>
      <w:bookmarkStart w:id="7" w:name="_Toc172283515"/>
      <w:r>
        <w:rPr>
          <w:rFonts w:hint="eastAsia"/>
          <w:b/>
          <w:bCs w:val="0"/>
        </w:rPr>
        <w:t>（三）绩效评价工作过程</w:t>
      </w:r>
      <w:bookmarkEnd w:id="6"/>
    </w:p>
    <w:p>
      <w:pPr>
        <w:pStyle w:val="26"/>
        <w:ind w:firstLine="640"/>
      </w:pPr>
      <w:r>
        <w:rPr>
          <w:rFonts w:hint="eastAsia"/>
        </w:rPr>
        <w:t>1.前期准备阶段</w:t>
      </w:r>
    </w:p>
    <w:p>
      <w:pPr>
        <w:pStyle w:val="26"/>
        <w:ind w:firstLine="640"/>
      </w:pPr>
      <w:r>
        <w:rPr>
          <w:rFonts w:hint="eastAsia"/>
        </w:rPr>
        <w:t>（</w:t>
      </w:r>
      <w:r>
        <w:t>1）成立绩效评价项目组</w:t>
      </w:r>
    </w:p>
    <w:p>
      <w:pPr>
        <w:pStyle w:val="26"/>
        <w:ind w:firstLine="640"/>
      </w:pPr>
      <w:r>
        <w:rPr>
          <w:rFonts w:hint="eastAsia"/>
        </w:rPr>
        <w:t>哈密市伊州区财政局委托第三方机构对</w:t>
      </w:r>
      <w:r>
        <w:rPr>
          <w:rFonts w:hint="eastAsia"/>
          <w:lang w:eastAsia="zh-CN"/>
        </w:rPr>
        <w:t>关于提前下达2024年中央水利发展资金</w:t>
      </w:r>
      <w:r>
        <w:rPr>
          <w:rFonts w:hint="eastAsia"/>
        </w:rPr>
        <w:t>项目进行绩效评价工作</w:t>
      </w:r>
      <w:r>
        <w:t>。</w:t>
      </w:r>
    </w:p>
    <w:p>
      <w:pPr>
        <w:pStyle w:val="26"/>
        <w:ind w:firstLine="640"/>
      </w:pPr>
      <w:r>
        <w:t>202</w:t>
      </w:r>
      <w:r>
        <w:rPr>
          <w:rFonts w:hint="eastAsia"/>
          <w:lang w:val="en-US" w:eastAsia="zh-CN"/>
        </w:rPr>
        <w:t>5</w:t>
      </w:r>
      <w:r>
        <w:t>年</w:t>
      </w:r>
      <w:r>
        <w:rPr>
          <w:rFonts w:hint="eastAsia"/>
          <w:lang w:val="en-US" w:eastAsia="zh-CN"/>
        </w:rPr>
        <w:t>7</w:t>
      </w:r>
      <w:r>
        <w:t>月</w:t>
      </w:r>
      <w:r>
        <w:rPr>
          <w:rFonts w:hint="eastAsia"/>
          <w:lang w:val="en-US" w:eastAsia="zh-CN"/>
        </w:rPr>
        <w:t>2</w:t>
      </w:r>
      <w:r>
        <w:t>日，绩效评价项目组（以下简称“评价组”）赴</w:t>
      </w:r>
      <w:r>
        <w:rPr>
          <w:rFonts w:hint="eastAsia"/>
          <w:lang w:eastAsia="zh-CN"/>
        </w:rPr>
        <w:t>哈密市伊州区水利局</w:t>
      </w:r>
      <w:r>
        <w:rPr>
          <w:rFonts w:hint="eastAsia"/>
        </w:rPr>
        <w:t>参加了调研</w:t>
      </w:r>
      <w:r>
        <w:t>，听取了该单位对</w:t>
      </w:r>
      <w:r>
        <w:rPr>
          <w:rFonts w:hint="eastAsia"/>
        </w:rPr>
        <w:t>本项目</w:t>
      </w:r>
      <w:r>
        <w:t>的申请立项、资金落实、业务管理、财务管理、项目产出、项目效益等方面的情况介绍，并对项目后续评价工作的基本原则及所需的各类资料文件提出了要求。</w:t>
      </w:r>
    </w:p>
    <w:p>
      <w:pPr>
        <w:pStyle w:val="26"/>
        <w:ind w:firstLine="640"/>
      </w:pPr>
      <w:r>
        <w:rPr>
          <w:rFonts w:hint="eastAsia"/>
        </w:rPr>
        <w:t>（2</w:t>
      </w:r>
      <w:r>
        <w:t>）指标体系设计</w:t>
      </w:r>
    </w:p>
    <w:p>
      <w:pPr>
        <w:pStyle w:val="26"/>
        <w:ind w:firstLine="640"/>
      </w:pPr>
      <w:r>
        <w:rPr>
          <w:rFonts w:hint="eastAsia"/>
        </w:rPr>
        <w:t>根据</w:t>
      </w:r>
      <w:r>
        <w:rPr>
          <w:rFonts w:hint="eastAsia"/>
          <w:lang w:eastAsia="zh-CN"/>
        </w:rPr>
        <w:t>哈密市伊州区水利局关于提前下达2024年中央水利发展资金</w:t>
      </w:r>
      <w:r>
        <w:rPr>
          <w:rFonts w:hint="eastAsia"/>
        </w:rPr>
        <w:t>项目</w:t>
      </w:r>
      <w:r>
        <w:t>绩效目标及实际工作需要，从决策、过程、产出、效益四个维度出发，设立项目立项、绩效目标、</w:t>
      </w:r>
      <w:r>
        <w:rPr>
          <w:rFonts w:hint="eastAsia"/>
        </w:rPr>
        <w:t>资金</w:t>
      </w:r>
      <w:r>
        <w:rPr>
          <w:rFonts w:hint="eastAsia"/>
          <w:highlight w:val="none"/>
        </w:rPr>
        <w:t>投入</w:t>
      </w:r>
      <w:r>
        <w:rPr>
          <w:highlight w:val="none"/>
        </w:rPr>
        <w:t>、资金管理、组织实施、产出数量、产出质量、产出时效、产出成本、</w:t>
      </w:r>
      <w:r>
        <w:rPr>
          <w:rFonts w:hint="eastAsia"/>
          <w:highlight w:val="none"/>
        </w:rPr>
        <w:t>项目</w:t>
      </w:r>
      <w:r>
        <w:rPr>
          <w:highlight w:val="none"/>
        </w:rPr>
        <w:t>效益、</w:t>
      </w:r>
      <w:r>
        <w:rPr>
          <w:rFonts w:hint="eastAsia"/>
          <w:highlight w:val="none"/>
        </w:rPr>
        <w:t>满意度</w:t>
      </w:r>
      <w:r>
        <w:rPr>
          <w:highlight w:val="none"/>
        </w:rPr>
        <w:t>1</w:t>
      </w:r>
      <w:r>
        <w:rPr>
          <w:rFonts w:hint="eastAsia"/>
          <w:highlight w:val="none"/>
        </w:rPr>
        <w:t>1项</w:t>
      </w:r>
      <w:r>
        <w:rPr>
          <w:highlight w:val="none"/>
        </w:rPr>
        <w:t>二级指标和</w:t>
      </w:r>
      <w:r>
        <w:rPr>
          <w:rFonts w:hint="eastAsia"/>
          <w:highlight w:val="none"/>
        </w:rPr>
        <w:t>2</w:t>
      </w:r>
      <w:r>
        <w:rPr>
          <w:rFonts w:hint="eastAsia"/>
          <w:highlight w:val="none"/>
          <w:lang w:val="en-US" w:eastAsia="zh-CN"/>
        </w:rPr>
        <w:t>4</w:t>
      </w:r>
      <w:r>
        <w:rPr>
          <w:rFonts w:hint="eastAsia"/>
          <w:highlight w:val="none"/>
        </w:rPr>
        <w:t>项</w:t>
      </w:r>
      <w:r>
        <w:rPr>
          <w:highlight w:val="none"/>
        </w:rPr>
        <w:t>三级指标，采取指标分值百分制，将</w:t>
      </w:r>
      <w:r>
        <w:rPr>
          <w:rFonts w:hint="eastAsia"/>
          <w:highlight w:val="none"/>
        </w:rPr>
        <w:t>2</w:t>
      </w:r>
      <w:r>
        <w:rPr>
          <w:rFonts w:hint="eastAsia"/>
          <w:highlight w:val="none"/>
          <w:lang w:val="en-US" w:eastAsia="zh-CN"/>
        </w:rPr>
        <w:t>4</w:t>
      </w:r>
      <w:r>
        <w:rPr>
          <w:rFonts w:hint="eastAsia"/>
          <w:highlight w:val="none"/>
        </w:rPr>
        <w:t>项</w:t>
      </w:r>
      <w:r>
        <w:rPr>
          <w:highlight w:val="none"/>
        </w:rPr>
        <w:t>指标量化为100分，详见附表</w:t>
      </w:r>
      <w:r>
        <w:rPr>
          <w:rFonts w:hint="eastAsia"/>
          <w:highlight w:val="none"/>
        </w:rPr>
        <w:t>1</w:t>
      </w:r>
      <w:r>
        <w:rPr>
          <w:highlight w:val="none"/>
        </w:rPr>
        <w:t>。</w:t>
      </w:r>
    </w:p>
    <w:p>
      <w:pPr>
        <w:pStyle w:val="26"/>
        <w:ind w:firstLine="640"/>
      </w:pPr>
      <w:r>
        <w:rPr>
          <w:rFonts w:hint="eastAsia"/>
        </w:rPr>
        <w:t>2.评价实施阶段</w:t>
      </w:r>
    </w:p>
    <w:p>
      <w:pPr>
        <w:pStyle w:val="26"/>
        <w:ind w:firstLine="640"/>
      </w:pPr>
      <w:r>
        <w:rPr>
          <w:rFonts w:hint="eastAsia"/>
        </w:rPr>
        <w:t>（</w:t>
      </w:r>
      <w:r>
        <w:t>1）正式进驻。评价组</w:t>
      </w:r>
      <w:r>
        <w:rPr>
          <w:rFonts w:hint="eastAsia"/>
        </w:rPr>
        <w:t>于</w:t>
      </w:r>
      <w:r>
        <w:t>202</w:t>
      </w:r>
      <w:r>
        <w:rPr>
          <w:rFonts w:hint="eastAsia"/>
          <w:lang w:val="en-US" w:eastAsia="zh-CN"/>
        </w:rPr>
        <w:t>5</w:t>
      </w:r>
      <w:r>
        <w:t>年</w:t>
      </w:r>
      <w:r>
        <w:rPr>
          <w:rFonts w:hint="eastAsia"/>
          <w:lang w:val="en-US" w:eastAsia="zh-CN"/>
        </w:rPr>
        <w:t>7</w:t>
      </w:r>
      <w:r>
        <w:t>月</w:t>
      </w:r>
      <w:r>
        <w:rPr>
          <w:rFonts w:hint="eastAsia"/>
          <w:lang w:val="en-US" w:eastAsia="zh-CN"/>
        </w:rPr>
        <w:t>2</w:t>
      </w:r>
      <w:r>
        <w:t>日正式进驻</w:t>
      </w:r>
      <w:r>
        <w:rPr>
          <w:rFonts w:hint="eastAsia"/>
          <w:lang w:eastAsia="zh-CN"/>
        </w:rPr>
        <w:t>哈密市伊州区水利局</w:t>
      </w:r>
      <w:r>
        <w:t>实施评价工作。</w:t>
      </w:r>
    </w:p>
    <w:p>
      <w:pPr>
        <w:pStyle w:val="26"/>
        <w:ind w:firstLine="640"/>
      </w:pPr>
      <w:r>
        <w:rPr>
          <w:rFonts w:hint="eastAsia"/>
        </w:rPr>
        <w:t>（</w:t>
      </w:r>
      <w:r>
        <w:t>2）全面审查。评价过程中，评价组对</w:t>
      </w:r>
      <w:r>
        <w:rPr>
          <w:rFonts w:hint="eastAsia"/>
          <w:lang w:eastAsia="zh-CN"/>
        </w:rPr>
        <w:t>关于提前下达2024年中央水利发展资金</w:t>
      </w:r>
      <w:r>
        <w:rPr>
          <w:rFonts w:hint="eastAsia"/>
        </w:rPr>
        <w:t>项目</w:t>
      </w:r>
      <w:r>
        <w:t>的文件依据、预算编制、制度执行、资金拨付、资金使用情况、产生效益等方面进行了全面梳理。评价组根据</w:t>
      </w:r>
      <w:r>
        <w:rPr>
          <w:rFonts w:hint="eastAsia"/>
          <w:szCs w:val="32"/>
          <w:lang w:eastAsia="zh-CN"/>
        </w:rPr>
        <w:t>相关</w:t>
      </w:r>
      <w:r>
        <w:t>文件，对专项经费的到位情况、预算编制、</w:t>
      </w:r>
      <w:r>
        <w:rPr>
          <w:rFonts w:hint="eastAsia"/>
        </w:rPr>
        <w:t>项目</w:t>
      </w:r>
      <w:r>
        <w:t>经费拨付等相关业务文件进行了核查。</w:t>
      </w:r>
    </w:p>
    <w:p>
      <w:pPr>
        <w:pStyle w:val="26"/>
        <w:ind w:firstLine="640"/>
      </w:pPr>
      <w:r>
        <w:rPr>
          <w:rFonts w:hint="eastAsia"/>
        </w:rPr>
        <w:t>（</w:t>
      </w:r>
      <w:r>
        <w:t>3）实地核查。评价组对</w:t>
      </w:r>
      <w:r>
        <w:rPr>
          <w:rFonts w:hint="eastAsia"/>
          <w:lang w:eastAsia="zh-CN"/>
        </w:rPr>
        <w:t>哈密市伊州区水利局关于提前下达2024年中央水利发展资金</w:t>
      </w:r>
      <w:r>
        <w:rPr>
          <w:rFonts w:hint="eastAsia"/>
        </w:rPr>
        <w:t>项目完成</w:t>
      </w:r>
      <w:r>
        <w:t>情况进行一一核查。通过现场实际勘查，并对项目完成后的不足提出建议，根据上述核查内容形成评价清单；同时评价组成员针对项目涉及的服务对象进行问卷调查。</w:t>
      </w:r>
    </w:p>
    <w:p>
      <w:pPr>
        <w:pStyle w:val="26"/>
        <w:ind w:firstLine="640"/>
      </w:pPr>
      <w:r>
        <w:rPr>
          <w:rFonts w:hint="eastAsia"/>
        </w:rPr>
        <w:t>（</w:t>
      </w:r>
      <w:r>
        <w:t>4）评价打分。按照绩效评价指标体系</w:t>
      </w:r>
      <w:r>
        <w:rPr>
          <w:rFonts w:hint="eastAsia"/>
        </w:rPr>
        <w:t>结合</w:t>
      </w:r>
      <w:r>
        <w:rPr>
          <w:rFonts w:hint="eastAsia"/>
          <w:lang w:eastAsia="zh-CN"/>
        </w:rPr>
        <w:t>哈密市伊州区水利局</w:t>
      </w:r>
      <w:r>
        <w:rPr>
          <w:rFonts w:hint="eastAsia"/>
        </w:rPr>
        <w:t>提供的项目资料及项目实际完成情况</w:t>
      </w:r>
      <w:r>
        <w:t>，对各绩效评价指标进行了评分。</w:t>
      </w:r>
    </w:p>
    <w:p>
      <w:pPr>
        <w:pStyle w:val="26"/>
        <w:ind w:firstLine="640"/>
      </w:pPr>
      <w:r>
        <w:rPr>
          <w:rFonts w:hint="eastAsia"/>
        </w:rPr>
        <w:t>（</w:t>
      </w:r>
      <w:r>
        <w:t>5）编制报告。评价组根据实地核查、评价打分编制绩效评价报告，全面梳理</w:t>
      </w:r>
      <w:r>
        <w:rPr>
          <w:rFonts w:hint="eastAsia"/>
        </w:rPr>
        <w:t>本项目</w:t>
      </w:r>
      <w:r>
        <w:t>在决策依据、过程管理、产出情况、取得效益等方面存在的问题及工作建议。</w:t>
      </w:r>
    </w:p>
    <w:p>
      <w:pPr>
        <w:pStyle w:val="29"/>
        <w:spacing w:before="0" w:after="0"/>
        <w:rPr>
          <w:highlight w:val="none"/>
        </w:rPr>
      </w:pPr>
      <w:r>
        <w:rPr>
          <w:rFonts w:hint="eastAsia"/>
          <w:highlight w:val="none"/>
        </w:rPr>
        <w:t>三、综合评价情况及评价结论</w:t>
      </w:r>
      <w:bookmarkEnd w:id="7"/>
    </w:p>
    <w:p>
      <w:pPr>
        <w:pStyle w:val="26"/>
        <w:ind w:firstLine="640"/>
        <w:rPr>
          <w:highlight w:val="none"/>
        </w:rPr>
      </w:pPr>
      <w:r>
        <w:rPr>
          <w:rFonts w:hint="eastAsia"/>
          <w:highlight w:val="none"/>
        </w:rPr>
        <w:t>经过综合评价，</w:t>
      </w:r>
      <w:r>
        <w:rPr>
          <w:rFonts w:hint="eastAsia"/>
          <w:highlight w:val="none"/>
          <w:lang w:eastAsia="zh-CN"/>
        </w:rPr>
        <w:t>关于提前下达2024年中央水利发展资金</w:t>
      </w:r>
      <w:r>
        <w:rPr>
          <w:rFonts w:hint="eastAsia"/>
          <w:highlight w:val="none"/>
        </w:rPr>
        <w:t>项目得分</w:t>
      </w:r>
      <w:r>
        <w:rPr>
          <w:rFonts w:hint="eastAsia"/>
          <w:highlight w:val="none"/>
          <w:lang w:eastAsia="zh-CN"/>
        </w:rPr>
        <w:t>89.36</w:t>
      </w:r>
      <w:r>
        <w:rPr>
          <w:highlight w:val="none"/>
        </w:rPr>
        <w:t>分，评价等级为“</w:t>
      </w:r>
      <w:r>
        <w:rPr>
          <w:rFonts w:hint="eastAsia"/>
          <w:highlight w:val="none"/>
        </w:rPr>
        <w:t>良</w:t>
      </w:r>
      <w:r>
        <w:rPr>
          <w:highlight w:val="none"/>
        </w:rPr>
        <w:t>”。其中，项目决策</w:t>
      </w:r>
      <w:r>
        <w:rPr>
          <w:rFonts w:hint="eastAsia"/>
          <w:highlight w:val="none"/>
          <w:lang w:val="en-US" w:eastAsia="zh-CN"/>
        </w:rPr>
        <w:t>24</w:t>
      </w:r>
      <w:r>
        <w:rPr>
          <w:highlight w:val="none"/>
        </w:rPr>
        <w:t>分，项目过程</w:t>
      </w:r>
      <w:r>
        <w:rPr>
          <w:rFonts w:hint="eastAsia"/>
          <w:highlight w:val="none"/>
          <w:lang w:val="en-US" w:eastAsia="zh-CN"/>
        </w:rPr>
        <w:t>14.36</w:t>
      </w:r>
      <w:r>
        <w:rPr>
          <w:highlight w:val="none"/>
        </w:rPr>
        <w:t>分，项目产出</w:t>
      </w:r>
      <w:r>
        <w:rPr>
          <w:rFonts w:hint="eastAsia"/>
          <w:highlight w:val="none"/>
        </w:rPr>
        <w:t>3</w:t>
      </w:r>
      <w:r>
        <w:rPr>
          <w:rFonts w:hint="eastAsia"/>
          <w:highlight w:val="none"/>
          <w:lang w:val="en-US" w:eastAsia="zh-CN"/>
        </w:rPr>
        <w:t>1</w:t>
      </w:r>
      <w:r>
        <w:rPr>
          <w:highlight w:val="none"/>
        </w:rPr>
        <w:t>分，项目效益</w:t>
      </w:r>
      <w:r>
        <w:rPr>
          <w:rFonts w:hint="eastAsia"/>
          <w:highlight w:val="none"/>
          <w:lang w:val="en-US" w:eastAsia="zh-CN"/>
        </w:rPr>
        <w:t>20</w:t>
      </w:r>
      <w:r>
        <w:rPr>
          <w:highlight w:val="none"/>
        </w:rPr>
        <w:t>分。</w:t>
      </w:r>
    </w:p>
    <w:p>
      <w:pPr>
        <w:pStyle w:val="26"/>
        <w:spacing w:line="276" w:lineRule="auto"/>
        <w:ind w:firstLine="640"/>
        <w:rPr>
          <w:highlight w:val="none"/>
        </w:rPr>
      </w:pPr>
      <w:r>
        <w:rPr>
          <w:rFonts w:hint="eastAsia"/>
          <w:highlight w:val="none"/>
        </w:rPr>
        <w:t>综合绩效评价得分具体情况见表4所示</w:t>
      </w:r>
      <w:r>
        <w:rPr>
          <w:highlight w:val="none"/>
        </w:rPr>
        <w:t>：</w:t>
      </w:r>
    </w:p>
    <w:p>
      <w:pPr>
        <w:widowControl/>
        <w:spacing w:line="276" w:lineRule="auto"/>
        <w:ind w:firstLine="0" w:firstLineChars="0"/>
        <w:jc w:val="center"/>
        <w:rPr>
          <w:rFonts w:hint="eastAsia" w:ascii="宋体" w:hAnsi="宋体" w:eastAsia="宋体" w:cs="Times New Roman"/>
          <w:b/>
          <w:sz w:val="24"/>
          <w:szCs w:val="22"/>
          <w:highlight w:val="none"/>
        </w:rPr>
      </w:pPr>
      <w:r>
        <w:rPr>
          <w:rFonts w:ascii="宋体" w:hAnsi="宋体" w:eastAsia="宋体" w:cs="Times New Roman"/>
          <w:b/>
          <w:sz w:val="24"/>
          <w:szCs w:val="22"/>
          <w:highlight w:val="none"/>
        </w:rPr>
        <w:t>表</w:t>
      </w:r>
      <w:r>
        <w:rPr>
          <w:rFonts w:hint="eastAsia" w:ascii="宋体" w:hAnsi="宋体" w:eastAsia="宋体" w:cs="Times New Roman"/>
          <w:b/>
          <w:sz w:val="24"/>
          <w:szCs w:val="22"/>
          <w:highlight w:val="none"/>
        </w:rPr>
        <w:t xml:space="preserve">4  </w:t>
      </w:r>
      <w:r>
        <w:rPr>
          <w:rFonts w:ascii="宋体" w:hAnsi="宋体" w:eastAsia="宋体" w:cs="Times New Roman"/>
          <w:b/>
          <w:sz w:val="24"/>
          <w:szCs w:val="22"/>
          <w:highlight w:val="none"/>
        </w:rPr>
        <w:t>项目综合绩效评价得分情况表</w:t>
      </w:r>
    </w:p>
    <w:p>
      <w:pPr>
        <w:spacing w:line="148" w:lineRule="exact"/>
        <w:ind w:firstLine="420"/>
        <w:rPr>
          <w:rFonts w:hint="eastAsia"/>
          <w:highlight w:val="none"/>
        </w:rPr>
      </w:pPr>
    </w:p>
    <w:tbl>
      <w:tblPr>
        <w:tblStyle w:val="47"/>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73" w:type="dxa"/>
          </w:tcPr>
          <w:p>
            <w:pPr>
              <w:pStyle w:val="48"/>
              <w:spacing w:before="129" w:line="219" w:lineRule="auto"/>
              <w:ind w:left="601"/>
              <w:rPr>
                <w:rFonts w:hint="eastAsia" w:ascii="宋体" w:hAnsi="宋体" w:eastAsia="宋体"/>
                <w:b/>
                <w:bCs/>
                <w:sz w:val="21"/>
                <w:szCs w:val="21"/>
                <w:highlight w:val="none"/>
              </w:rPr>
            </w:pPr>
            <w:r>
              <w:rPr>
                <w:rFonts w:hint="eastAsia" w:ascii="宋体" w:hAnsi="宋体" w:eastAsia="宋体"/>
                <w:b/>
                <w:bCs/>
                <w:spacing w:val="-2"/>
                <w:sz w:val="21"/>
                <w:szCs w:val="21"/>
                <w:highlight w:val="none"/>
              </w:rPr>
              <w:t>评价指标</w:t>
            </w:r>
          </w:p>
        </w:tc>
        <w:tc>
          <w:tcPr>
            <w:tcW w:w="2125" w:type="dxa"/>
          </w:tcPr>
          <w:p>
            <w:pPr>
              <w:pStyle w:val="48"/>
              <w:spacing w:before="129" w:line="219" w:lineRule="auto"/>
              <w:ind w:left="576"/>
              <w:rPr>
                <w:rFonts w:hint="eastAsia" w:ascii="宋体" w:hAnsi="宋体" w:eastAsia="宋体"/>
                <w:b/>
                <w:bCs/>
                <w:sz w:val="21"/>
                <w:szCs w:val="21"/>
                <w:highlight w:val="none"/>
              </w:rPr>
            </w:pPr>
            <w:r>
              <w:rPr>
                <w:rFonts w:hint="eastAsia" w:ascii="宋体" w:hAnsi="宋体" w:eastAsia="宋体"/>
                <w:b/>
                <w:bCs/>
                <w:spacing w:val="-3"/>
                <w:sz w:val="21"/>
                <w:szCs w:val="21"/>
                <w:highlight w:val="none"/>
              </w:rPr>
              <w:t>权重（%）</w:t>
            </w:r>
          </w:p>
        </w:tc>
        <w:tc>
          <w:tcPr>
            <w:tcW w:w="2070" w:type="dxa"/>
          </w:tcPr>
          <w:p>
            <w:pPr>
              <w:pStyle w:val="48"/>
              <w:spacing w:before="129" w:line="219" w:lineRule="auto"/>
              <w:ind w:left="599"/>
              <w:rPr>
                <w:rFonts w:hint="eastAsia" w:ascii="宋体" w:hAnsi="宋体" w:eastAsia="宋体"/>
                <w:b/>
                <w:bCs/>
                <w:sz w:val="21"/>
                <w:szCs w:val="21"/>
                <w:highlight w:val="none"/>
              </w:rPr>
            </w:pPr>
            <w:r>
              <w:rPr>
                <w:rFonts w:hint="eastAsia" w:ascii="宋体" w:hAnsi="宋体" w:eastAsia="宋体"/>
                <w:b/>
                <w:bCs/>
                <w:spacing w:val="-2"/>
                <w:sz w:val="21"/>
                <w:szCs w:val="21"/>
                <w:highlight w:val="none"/>
              </w:rPr>
              <w:t>评价得分</w:t>
            </w:r>
          </w:p>
        </w:tc>
        <w:tc>
          <w:tcPr>
            <w:tcW w:w="2241" w:type="dxa"/>
          </w:tcPr>
          <w:p>
            <w:pPr>
              <w:pStyle w:val="48"/>
              <w:spacing w:before="129" w:line="219" w:lineRule="auto"/>
              <w:ind w:left="463"/>
              <w:rPr>
                <w:rFonts w:hint="eastAsia" w:ascii="宋体" w:hAnsi="宋体" w:eastAsia="宋体"/>
                <w:b/>
                <w:bCs/>
                <w:sz w:val="21"/>
                <w:szCs w:val="21"/>
                <w:highlight w:val="none"/>
              </w:rPr>
            </w:pPr>
            <w:r>
              <w:rPr>
                <w:rFonts w:hint="eastAsia" w:ascii="宋体" w:hAnsi="宋体" w:eastAsia="宋体"/>
                <w:b/>
                <w:bCs/>
                <w:spacing w:val="-1"/>
                <w:sz w:val="21"/>
                <w:szCs w:val="21"/>
                <w:highlight w:val="none"/>
              </w:rPr>
              <w:t>评价分值占比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pPr>
              <w:pStyle w:val="48"/>
              <w:spacing w:before="127" w:line="219" w:lineRule="auto"/>
              <w:ind w:left="725"/>
              <w:rPr>
                <w:rFonts w:hint="eastAsia" w:ascii="宋体" w:hAnsi="宋体" w:eastAsia="宋体"/>
                <w:b/>
                <w:bCs/>
                <w:sz w:val="21"/>
                <w:szCs w:val="21"/>
                <w:highlight w:val="none"/>
              </w:rPr>
            </w:pPr>
            <w:r>
              <w:rPr>
                <w:rFonts w:hint="eastAsia" w:ascii="宋体" w:hAnsi="宋体" w:eastAsia="宋体"/>
                <w:b/>
                <w:bCs/>
                <w:spacing w:val="-6"/>
                <w:sz w:val="21"/>
                <w:szCs w:val="21"/>
                <w:highlight w:val="none"/>
              </w:rPr>
              <w:t>1.决策</w:t>
            </w:r>
          </w:p>
        </w:tc>
        <w:tc>
          <w:tcPr>
            <w:tcW w:w="2125"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24%</w:t>
            </w:r>
          </w:p>
        </w:tc>
        <w:tc>
          <w:tcPr>
            <w:tcW w:w="2070" w:type="dxa"/>
            <w:vAlign w:val="center"/>
          </w:tcPr>
          <w:p>
            <w:pPr>
              <w:ind w:firstLine="0" w:firstLineChars="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24</w:t>
            </w:r>
          </w:p>
        </w:tc>
        <w:tc>
          <w:tcPr>
            <w:tcW w:w="2241"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hint="eastAsia"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pPr>
              <w:pStyle w:val="48"/>
              <w:spacing w:before="129" w:line="220" w:lineRule="auto"/>
              <w:ind w:left="720"/>
              <w:rPr>
                <w:rFonts w:hint="eastAsia" w:ascii="宋体" w:hAnsi="宋体" w:eastAsia="宋体"/>
                <w:b/>
                <w:bCs/>
                <w:sz w:val="21"/>
                <w:szCs w:val="21"/>
                <w:highlight w:val="none"/>
              </w:rPr>
            </w:pPr>
            <w:r>
              <w:rPr>
                <w:rFonts w:hint="eastAsia" w:ascii="宋体" w:hAnsi="宋体" w:eastAsia="宋体"/>
                <w:b/>
                <w:bCs/>
                <w:spacing w:val="-4"/>
                <w:sz w:val="21"/>
                <w:szCs w:val="21"/>
                <w:highlight w:val="none"/>
              </w:rPr>
              <w:t>2.管理</w:t>
            </w:r>
          </w:p>
        </w:tc>
        <w:tc>
          <w:tcPr>
            <w:tcW w:w="2125"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16%</w:t>
            </w:r>
          </w:p>
        </w:tc>
        <w:tc>
          <w:tcPr>
            <w:tcW w:w="2070" w:type="dxa"/>
            <w:vAlign w:val="center"/>
          </w:tcPr>
          <w:p>
            <w:pPr>
              <w:ind w:firstLine="0" w:firstLineChars="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14.36</w:t>
            </w:r>
          </w:p>
        </w:tc>
        <w:tc>
          <w:tcPr>
            <w:tcW w:w="2241"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8</w:t>
            </w:r>
            <w:r>
              <w:rPr>
                <w:rFonts w:hint="eastAsia" w:ascii="Times New Roman" w:hAnsi="Times New Roman" w:eastAsia="仿宋_GB2312" w:cs="Times New Roman"/>
                <w:snapToGrid w:val="0"/>
                <w:color w:val="000000"/>
                <w:kern w:val="0"/>
                <w:sz w:val="22"/>
                <w:szCs w:val="22"/>
                <w:highlight w:val="none"/>
                <w:lang w:val="en-US" w:eastAsia="zh-CN"/>
              </w:rPr>
              <w:t>9</w:t>
            </w:r>
            <w:r>
              <w:rPr>
                <w:rFonts w:hint="eastAsia" w:ascii="Times New Roman" w:hAnsi="Times New Roman" w:eastAsia="仿宋_GB2312" w:cs="Times New Roman"/>
                <w:snapToGrid w:val="0"/>
                <w:color w:val="000000"/>
                <w:kern w:val="0"/>
                <w:sz w:val="22"/>
                <w:szCs w:val="22"/>
                <w:highlight w:val="none"/>
                <w:lang w:eastAsia="zh-CN"/>
              </w:rPr>
              <w:t>.</w:t>
            </w:r>
            <w:r>
              <w:rPr>
                <w:rFonts w:hint="eastAsia" w:ascii="Times New Roman" w:hAnsi="Times New Roman" w:eastAsia="仿宋_GB2312" w:cs="Times New Roman"/>
                <w:snapToGrid w:val="0"/>
                <w:color w:val="000000"/>
                <w:kern w:val="0"/>
                <w:sz w:val="22"/>
                <w:szCs w:val="22"/>
                <w:highlight w:val="none"/>
                <w:lang w:val="en-US" w:eastAsia="zh-CN"/>
              </w:rPr>
              <w:t>75</w:t>
            </w:r>
            <w:r>
              <w:rPr>
                <w:rFonts w:hint="eastAsia"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pPr>
              <w:pStyle w:val="48"/>
              <w:spacing w:before="125" w:line="220" w:lineRule="auto"/>
              <w:ind w:left="728"/>
              <w:rPr>
                <w:rFonts w:hint="eastAsia" w:ascii="宋体" w:hAnsi="宋体" w:eastAsia="宋体"/>
                <w:b/>
                <w:bCs/>
                <w:sz w:val="21"/>
                <w:szCs w:val="21"/>
                <w:highlight w:val="none"/>
              </w:rPr>
            </w:pPr>
            <w:r>
              <w:rPr>
                <w:rFonts w:hint="eastAsia" w:ascii="宋体" w:hAnsi="宋体" w:eastAsia="宋体"/>
                <w:b/>
                <w:bCs/>
                <w:spacing w:val="-6"/>
                <w:sz w:val="21"/>
                <w:szCs w:val="21"/>
                <w:highlight w:val="none"/>
              </w:rPr>
              <w:t>3.产出</w:t>
            </w:r>
          </w:p>
        </w:tc>
        <w:tc>
          <w:tcPr>
            <w:tcW w:w="2125"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40%</w:t>
            </w:r>
          </w:p>
        </w:tc>
        <w:tc>
          <w:tcPr>
            <w:tcW w:w="2070"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3</w:t>
            </w:r>
            <w:r>
              <w:rPr>
                <w:rFonts w:hint="eastAsia" w:ascii="Times New Roman" w:hAnsi="Times New Roman" w:eastAsia="仿宋_GB2312" w:cs="Times New Roman"/>
                <w:snapToGrid w:val="0"/>
                <w:color w:val="000000"/>
                <w:kern w:val="0"/>
                <w:sz w:val="22"/>
                <w:szCs w:val="22"/>
                <w:highlight w:val="none"/>
                <w:lang w:val="en-US" w:eastAsia="zh-CN"/>
              </w:rPr>
              <w:t>1</w:t>
            </w:r>
          </w:p>
        </w:tc>
        <w:tc>
          <w:tcPr>
            <w:tcW w:w="2241"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77.5</w:t>
            </w:r>
            <w:r>
              <w:rPr>
                <w:rFonts w:hint="eastAsia"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pPr>
              <w:pStyle w:val="48"/>
              <w:spacing w:before="126" w:line="219" w:lineRule="auto"/>
              <w:ind w:left="719"/>
              <w:rPr>
                <w:rFonts w:hint="eastAsia" w:ascii="宋体" w:hAnsi="宋体" w:eastAsia="宋体"/>
                <w:b/>
                <w:bCs/>
                <w:sz w:val="21"/>
                <w:szCs w:val="21"/>
                <w:highlight w:val="none"/>
                <w:lang w:eastAsia="zh-CN"/>
              </w:rPr>
            </w:pPr>
            <w:r>
              <w:rPr>
                <w:rFonts w:hint="eastAsia" w:ascii="宋体" w:hAnsi="宋体" w:eastAsia="宋体"/>
                <w:b/>
                <w:bCs/>
                <w:spacing w:val="-4"/>
                <w:sz w:val="21"/>
                <w:szCs w:val="21"/>
                <w:highlight w:val="none"/>
              </w:rPr>
              <w:t>4.</w:t>
            </w:r>
            <w:r>
              <w:rPr>
                <w:rFonts w:hint="eastAsia" w:ascii="宋体" w:hAnsi="宋体" w:eastAsia="宋体"/>
                <w:b/>
                <w:bCs/>
                <w:spacing w:val="-4"/>
                <w:sz w:val="21"/>
                <w:szCs w:val="21"/>
                <w:highlight w:val="none"/>
                <w:lang w:eastAsia="zh-CN"/>
              </w:rPr>
              <w:t>效益</w:t>
            </w:r>
          </w:p>
        </w:tc>
        <w:tc>
          <w:tcPr>
            <w:tcW w:w="2125"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20%</w:t>
            </w:r>
          </w:p>
        </w:tc>
        <w:tc>
          <w:tcPr>
            <w:tcW w:w="2070" w:type="dxa"/>
            <w:vAlign w:val="center"/>
          </w:tcPr>
          <w:p>
            <w:pPr>
              <w:ind w:firstLine="0" w:firstLineChars="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20</w:t>
            </w:r>
          </w:p>
        </w:tc>
        <w:tc>
          <w:tcPr>
            <w:tcW w:w="2241"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20</w:t>
            </w:r>
            <w:r>
              <w:rPr>
                <w:rFonts w:hint="eastAsia" w:ascii="Times New Roman" w:hAnsi="Times New Roman" w:eastAsia="仿宋_GB2312" w:cs="Times New Roman"/>
                <w:snapToGrid w:val="0"/>
                <w:color w:val="000000"/>
                <w:kern w:val="0"/>
                <w:sz w:val="22"/>
                <w:szCs w:val="22"/>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pPr>
              <w:pStyle w:val="48"/>
              <w:spacing w:before="131" w:line="219" w:lineRule="auto"/>
              <w:ind w:left="610"/>
              <w:rPr>
                <w:rFonts w:hint="eastAsia" w:ascii="宋体" w:hAnsi="宋体" w:eastAsia="宋体"/>
                <w:b/>
                <w:bCs/>
                <w:sz w:val="21"/>
                <w:szCs w:val="21"/>
                <w:highlight w:val="none"/>
              </w:rPr>
            </w:pPr>
            <w:r>
              <w:rPr>
                <w:rFonts w:hint="eastAsia" w:ascii="宋体" w:hAnsi="宋体" w:eastAsia="宋体"/>
                <w:b/>
                <w:bCs/>
                <w:spacing w:val="-3"/>
                <w:sz w:val="21"/>
                <w:szCs w:val="21"/>
                <w:highlight w:val="none"/>
              </w:rPr>
              <w:t>综合绩效</w:t>
            </w:r>
          </w:p>
        </w:tc>
        <w:tc>
          <w:tcPr>
            <w:tcW w:w="2125"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100%</w:t>
            </w:r>
          </w:p>
        </w:tc>
        <w:tc>
          <w:tcPr>
            <w:tcW w:w="2070" w:type="dxa"/>
            <w:vAlign w:val="center"/>
          </w:tcPr>
          <w:p>
            <w:pPr>
              <w:ind w:firstLine="0" w:firstLineChars="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eastAsia="zh-CN"/>
              </w:rPr>
              <w:t>89.36</w:t>
            </w:r>
          </w:p>
        </w:tc>
        <w:tc>
          <w:tcPr>
            <w:tcW w:w="2241" w:type="dxa"/>
            <w:vAlign w:val="center"/>
          </w:tcPr>
          <w:p>
            <w:pPr>
              <w:ind w:firstLine="0" w:firstLineChars="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eastAsia="zh-CN"/>
              </w:rPr>
              <w:t>89.36%</w:t>
            </w:r>
          </w:p>
        </w:tc>
      </w:tr>
    </w:tbl>
    <w:p>
      <w:pPr>
        <w:pStyle w:val="26"/>
        <w:ind w:firstLine="640"/>
        <w:rPr>
          <w:rFonts w:cs="仿宋_GB2312"/>
          <w:highlight w:val="none"/>
        </w:rPr>
      </w:pPr>
      <w:r>
        <w:rPr>
          <w:rFonts w:hint="eastAsia" w:cs="仿宋_GB2312"/>
          <w:highlight w:val="none"/>
        </w:rPr>
        <w:t>评价结论：一是项目决策方面，</w:t>
      </w:r>
      <w:r>
        <w:rPr>
          <w:rFonts w:hint="eastAsia" w:cs="仿宋_GB2312"/>
          <w:highlight w:val="none"/>
          <w:lang w:eastAsia="zh-CN"/>
        </w:rPr>
        <w:t>关于提前下达2024年中央水利发展资金</w:t>
      </w:r>
      <w:r>
        <w:rPr>
          <w:rFonts w:hint="eastAsia" w:cs="仿宋_GB2312"/>
          <w:highlight w:val="none"/>
        </w:rPr>
        <w:t>项目立项依据充分，立项程序规范，项目绩效目标</w:t>
      </w:r>
      <w:r>
        <w:rPr>
          <w:rFonts w:hint="eastAsia" w:cs="仿宋_GB2312"/>
          <w:highlight w:val="none"/>
          <w:lang w:val="en-US" w:eastAsia="zh-CN"/>
        </w:rPr>
        <w:t>设置合理、</w:t>
      </w:r>
      <w:r>
        <w:rPr>
          <w:rFonts w:hint="eastAsia" w:cs="仿宋_GB2312"/>
          <w:highlight w:val="none"/>
        </w:rPr>
        <w:t>预算编制依据充分合理、细化程度较高，资金分配依据充分、分配额度合理。二是项目过程方面，项目资金到位及时且足额，项目资金使用合规。但水利设施设备管理维护制度缺失，设备运行存在风险，项目管理制度健全性与制度执行有效性有待提高。三是项目产出方面，</w:t>
      </w:r>
      <w:r>
        <w:rPr>
          <w:rFonts w:hint="eastAsia"/>
          <w:color w:val="000000" w:themeColor="text1"/>
          <w:highlight w:val="none"/>
          <w:lang w:eastAsia="zh-CN"/>
          <w14:textFill>
            <w14:solidFill>
              <w14:schemeClr w14:val="tx1"/>
            </w14:solidFill>
          </w14:textFill>
        </w:rPr>
        <w:t>山洪灾害防治非工程措施项目，</w:t>
      </w:r>
      <w:r>
        <w:rPr>
          <w:rFonts w:hint="eastAsia"/>
          <w:color w:val="000000" w:themeColor="text1"/>
          <w:highlight w:val="none"/>
          <w:lang w:val="en-US" w:eastAsia="zh-CN"/>
          <w14:textFill>
            <w14:solidFill>
              <w14:schemeClr w14:val="tx1"/>
            </w14:solidFill>
          </w14:textFill>
        </w:rPr>
        <w:t>实施农村饮水维修养护项目，对石城子、沁城等灌区设施进行维修养护，对辖区水库进行维修养护，实施地下水超采治理地表水置换地下水工程</w:t>
      </w:r>
      <w:r>
        <w:rPr>
          <w:rFonts w:hint="eastAsia" w:cs="仿宋_GB2312"/>
          <w:highlight w:val="none"/>
        </w:rPr>
        <w:t>已全部</w:t>
      </w:r>
      <w:r>
        <w:rPr>
          <w:rFonts w:hint="eastAsia"/>
          <w:color w:val="000000" w:themeColor="text1"/>
          <w:highlight w:val="none"/>
          <w:lang w:val="en-US" w:eastAsia="zh-CN"/>
          <w14:textFill>
            <w14:solidFill>
              <w14:schemeClr w14:val="tx1"/>
            </w14:solidFill>
          </w14:textFill>
        </w:rPr>
        <w:t>完成，但工程建设期限与实施方案不符，效益发挥滞后。</w:t>
      </w:r>
      <w:r>
        <w:rPr>
          <w:rFonts w:hint="eastAsia" w:cs="仿宋_GB2312"/>
          <w:highlight w:val="none"/>
        </w:rPr>
        <w:t>四是项目效益方面，</w:t>
      </w:r>
      <w:r>
        <w:rPr>
          <w:rFonts w:hint="eastAsia" w:cs="仿宋_GB2312"/>
          <w:highlight w:val="none"/>
          <w:lang w:val="en-US" w:eastAsia="zh-CN"/>
        </w:rPr>
        <w:t>完成应急预案体系建设，</w:t>
      </w:r>
      <w:r>
        <w:rPr>
          <w:rFonts w:hint="eastAsia"/>
          <w:highlight w:val="none"/>
          <w:lang w:val="en-US" w:eastAsia="zh-CN"/>
        </w:rPr>
        <w:t>有效补全了</w:t>
      </w:r>
      <w:r>
        <w:rPr>
          <w:rFonts w:hint="eastAsia"/>
          <w:highlight w:val="none"/>
        </w:rPr>
        <w:t>山洪防治基层乡村和单位群测群防体系不健全等短板和薄弱环节</w:t>
      </w:r>
      <w:r>
        <w:rPr>
          <w:rFonts w:hint="eastAsia"/>
          <w:highlight w:val="none"/>
          <w:lang w:eastAsia="zh-CN"/>
        </w:rPr>
        <w:t>，</w:t>
      </w:r>
      <w:r>
        <w:rPr>
          <w:rFonts w:hint="eastAsia"/>
          <w:highlight w:val="none"/>
          <w:lang w:val="en-US" w:eastAsia="zh-CN"/>
        </w:rPr>
        <w:t>解决了大泉湾水厂、西郊水厂、骆驼图子水厂、石城子渠灌区、都鲁克灌区和沁城灌区、16座小型水库设施设备及配件损坏的问题，保障了水利设施正常运行，解决了伊州区东郊草场片区地下水超采问题，项目效益较好</w:t>
      </w:r>
      <w:r>
        <w:rPr>
          <w:rFonts w:hint="eastAsia"/>
          <w:highlight w:val="none"/>
        </w:rPr>
        <w:t>。</w:t>
      </w:r>
    </w:p>
    <w:p>
      <w:pPr>
        <w:pStyle w:val="29"/>
        <w:spacing w:before="0" w:after="0"/>
        <w:rPr>
          <w:highlight w:val="none"/>
        </w:rPr>
      </w:pPr>
      <w:bookmarkStart w:id="8" w:name="_Toc172283516"/>
      <w:r>
        <w:rPr>
          <w:rFonts w:hint="eastAsia"/>
          <w:highlight w:val="none"/>
        </w:rPr>
        <w:t>四、绩效评价指标分析</w:t>
      </w:r>
      <w:bookmarkEnd w:id="8"/>
    </w:p>
    <w:p>
      <w:pPr>
        <w:pStyle w:val="31"/>
        <w:spacing w:before="0" w:after="0"/>
        <w:ind w:firstLine="643"/>
        <w:rPr>
          <w:rFonts w:hint="eastAsia"/>
          <w:b/>
          <w:bCs w:val="0"/>
          <w:highlight w:val="none"/>
        </w:rPr>
      </w:pPr>
      <w:bookmarkStart w:id="9" w:name="_Toc172283517"/>
      <w:r>
        <w:rPr>
          <w:rFonts w:hint="eastAsia"/>
          <w:b/>
          <w:bCs w:val="0"/>
          <w:highlight w:val="none"/>
        </w:rPr>
        <w:t>（一）项目决策情况</w:t>
      </w:r>
      <w:bookmarkEnd w:id="9"/>
    </w:p>
    <w:p>
      <w:pPr>
        <w:pStyle w:val="26"/>
        <w:ind w:firstLine="640"/>
        <w:rPr>
          <w:highlight w:val="none"/>
        </w:rPr>
      </w:pPr>
      <w:r>
        <w:rPr>
          <w:rFonts w:hint="eastAsia"/>
          <w:highlight w:val="none"/>
        </w:rPr>
        <w:t>决策指标主要包括项目立项、绩效目标、资金投入</w:t>
      </w:r>
      <w:r>
        <w:rPr>
          <w:highlight w:val="none"/>
        </w:rPr>
        <w:t>3</w:t>
      </w:r>
      <w:r>
        <w:rPr>
          <w:rFonts w:hint="eastAsia"/>
          <w:highlight w:val="none"/>
        </w:rPr>
        <w:t>项</w:t>
      </w:r>
      <w:r>
        <w:rPr>
          <w:highlight w:val="none"/>
        </w:rPr>
        <w:t>二级指标，</w:t>
      </w:r>
      <w:r>
        <w:rPr>
          <w:rFonts w:hint="eastAsia"/>
          <w:highlight w:val="none"/>
        </w:rPr>
        <w:t>6</w:t>
      </w:r>
      <w:r>
        <w:rPr>
          <w:highlight w:val="none"/>
        </w:rPr>
        <w:t>项三级指标，基础总分</w:t>
      </w:r>
      <w:r>
        <w:rPr>
          <w:rFonts w:hint="eastAsia"/>
          <w:highlight w:val="none"/>
        </w:rPr>
        <w:t>24</w:t>
      </w:r>
      <w:r>
        <w:rPr>
          <w:highlight w:val="none"/>
        </w:rPr>
        <w:t>分，合计得分</w:t>
      </w:r>
      <w:r>
        <w:rPr>
          <w:rFonts w:hint="eastAsia"/>
          <w:highlight w:val="none"/>
          <w:lang w:val="en-US" w:eastAsia="zh-CN"/>
        </w:rPr>
        <w:t>24</w:t>
      </w:r>
      <w:r>
        <w:rPr>
          <w:highlight w:val="none"/>
        </w:rPr>
        <w:t>分。</w:t>
      </w:r>
    </w:p>
    <w:p>
      <w:pPr>
        <w:pStyle w:val="26"/>
        <w:ind w:firstLine="640"/>
      </w:pPr>
      <w:r>
        <w:t>1.项目立项</w:t>
      </w:r>
    </w:p>
    <w:p>
      <w:pPr>
        <w:pStyle w:val="26"/>
        <w:ind w:firstLine="640"/>
      </w:pPr>
      <w:r>
        <w:rPr>
          <w:rFonts w:hint="eastAsia"/>
        </w:rPr>
        <w:t>（</w:t>
      </w:r>
      <w:r>
        <w:t>1）立项依据充分性（总分</w:t>
      </w:r>
      <w:r>
        <w:rPr>
          <w:rFonts w:hint="eastAsia"/>
        </w:rPr>
        <w:t>3</w:t>
      </w:r>
      <w:r>
        <w:t>分，得分</w:t>
      </w:r>
      <w:r>
        <w:rPr>
          <w:rFonts w:hint="eastAsia"/>
        </w:rPr>
        <w:t>3</w:t>
      </w:r>
      <w:r>
        <w:t>分）。</w:t>
      </w:r>
      <w:r>
        <w:rPr>
          <w:rFonts w:hint="eastAsia"/>
          <w:lang w:eastAsia="zh-CN"/>
        </w:rPr>
        <w:t>关于提前下达2024年中央水利发展资金</w:t>
      </w:r>
      <w:r>
        <w:rPr>
          <w:rFonts w:hint="eastAsia"/>
        </w:rPr>
        <w:t>项目依据</w:t>
      </w:r>
      <w:r>
        <w:rPr>
          <w:rFonts w:hint="eastAsia"/>
          <w:szCs w:val="32"/>
          <w:lang w:eastAsia="zh-CN"/>
        </w:rPr>
        <w:t>相关</w:t>
      </w:r>
      <w:r>
        <w:t>文件</w:t>
      </w:r>
      <w:r>
        <w:rPr>
          <w:rFonts w:hint="eastAsia"/>
        </w:rPr>
        <w:t>立项</w:t>
      </w:r>
      <w:r>
        <w:t>，</w:t>
      </w:r>
      <w:r>
        <w:rPr>
          <w:rFonts w:hint="eastAsia"/>
        </w:rPr>
        <w:t>本项目</w:t>
      </w:r>
      <w:r>
        <w:t>与</w:t>
      </w:r>
      <w:r>
        <w:rPr>
          <w:rFonts w:hint="eastAsia"/>
          <w:lang w:val="en-US" w:eastAsia="zh-CN"/>
        </w:rPr>
        <w:t>上述文件中</w:t>
      </w:r>
      <w:r>
        <w:rPr>
          <w:rFonts w:hint="eastAsia"/>
        </w:rPr>
        <w:t>“</w:t>
      </w:r>
      <w:r>
        <w:rPr>
          <w:rFonts w:hint="eastAsia"/>
          <w:lang w:val="en-US" w:eastAsia="zh-CN"/>
        </w:rPr>
        <w:t>支持小型水库除险加固以及雨水情测报、大坝安全监测设施建设，山洪灾害防治，水利工程维修养护等提升水旱灾害防御能力的相关支出；支持中型灌区建设及节水改造，小型水库及小型引调水工程等小型水源工程建设，水资源刚性约束与调度，农业水价综合改革等促进水资源集约节约利用、地下水超采综合治理的相关支出</w:t>
      </w:r>
      <w:r>
        <w:rPr>
          <w:rFonts w:hint="eastAsia"/>
        </w:rPr>
        <w:t>”的</w:t>
      </w:r>
      <w:r>
        <w:rPr>
          <w:rFonts w:hint="eastAsia"/>
          <w:lang w:val="en-US" w:eastAsia="zh-CN"/>
        </w:rPr>
        <w:t>要求</w:t>
      </w:r>
      <w:r>
        <w:t>相</w:t>
      </w:r>
      <w:r>
        <w:rPr>
          <w:rFonts w:hint="eastAsia"/>
        </w:rPr>
        <w:t>匹配</w:t>
      </w:r>
      <w:r>
        <w:t>，</w:t>
      </w:r>
      <w:r>
        <w:rPr>
          <w:rFonts w:hint="eastAsia"/>
        </w:rPr>
        <w:t>与</w:t>
      </w:r>
      <w:r>
        <w:rPr>
          <w:rFonts w:hint="eastAsia"/>
          <w:lang w:eastAsia="zh-CN"/>
        </w:rPr>
        <w:t>哈密市伊州区水利局</w:t>
      </w:r>
      <w:r>
        <w:rPr>
          <w:rFonts w:hint="eastAsia"/>
        </w:rPr>
        <w:t>“负责辖区内水利工程建设管理</w:t>
      </w:r>
      <w:r>
        <w:rPr>
          <w:rFonts w:hint="eastAsia"/>
          <w:lang w:eastAsia="zh-CN"/>
        </w:rPr>
        <w:t>、水资源保护、水旱灾害防御、水利设施与水域管理</w:t>
      </w:r>
      <w:r>
        <w:rPr>
          <w:rFonts w:hint="eastAsia"/>
        </w:rPr>
        <w:t>”的职责密切相关，</w:t>
      </w:r>
      <w:r>
        <w:t>属于部门履职所需，立项依据充分</w:t>
      </w:r>
      <w:r>
        <w:rPr>
          <w:rFonts w:hint="eastAsia"/>
        </w:rPr>
        <w:t>性较高</w:t>
      </w:r>
      <w:r>
        <w:t>。</w:t>
      </w:r>
      <w:r>
        <w:rPr>
          <w:rFonts w:hint="eastAsia"/>
        </w:rPr>
        <w:t>综上所述，该指标分值3分，根据评分标准得3分，得分率100%。</w:t>
      </w:r>
    </w:p>
    <w:p>
      <w:pPr>
        <w:pStyle w:val="26"/>
        <w:ind w:firstLine="640"/>
      </w:pPr>
      <w:r>
        <w:rPr>
          <w:rFonts w:hint="eastAsia"/>
        </w:rPr>
        <w:t>（</w:t>
      </w:r>
      <w:r>
        <w:t>2）立项程序规范性（总分</w:t>
      </w:r>
      <w:r>
        <w:rPr>
          <w:rFonts w:hint="eastAsia"/>
        </w:rPr>
        <w:t>3</w:t>
      </w:r>
      <w:r>
        <w:t>分，得分</w:t>
      </w:r>
      <w:r>
        <w:rPr>
          <w:rFonts w:hint="eastAsia"/>
        </w:rPr>
        <w:t>3</w:t>
      </w:r>
      <w:r>
        <w:t>分）。</w:t>
      </w:r>
      <w:r>
        <w:rPr>
          <w:rFonts w:hint="eastAsia"/>
          <w:lang w:eastAsia="zh-CN"/>
        </w:rPr>
        <w:t>哈密市伊州区水利局</w:t>
      </w:r>
      <w:r>
        <w:rPr>
          <w:rFonts w:hint="eastAsia"/>
        </w:rPr>
        <w:t>根据</w:t>
      </w:r>
      <w:r>
        <w:rPr>
          <w:rFonts w:hint="eastAsia"/>
          <w:szCs w:val="32"/>
          <w:lang w:eastAsia="zh-CN"/>
        </w:rPr>
        <w:t>相关</w:t>
      </w:r>
      <w:r>
        <w:t>文件</w:t>
      </w:r>
      <w:r>
        <w:rPr>
          <w:rFonts w:hint="eastAsia"/>
        </w:rPr>
        <w:t>要求，</w:t>
      </w:r>
      <w:r>
        <w:rPr>
          <w:rFonts w:hint="eastAsia"/>
          <w:lang w:val="en-US" w:eastAsia="zh-CN"/>
        </w:rPr>
        <w:t>组织</w:t>
      </w:r>
      <w:r>
        <w:rPr>
          <w:rFonts w:hint="eastAsia"/>
        </w:rPr>
        <w:t>编制了</w:t>
      </w:r>
      <w:r>
        <w:rPr>
          <w:rFonts w:hint="eastAsia"/>
          <w:lang w:eastAsia="zh-CN"/>
        </w:rPr>
        <w:t>相关实施方案</w:t>
      </w:r>
      <w:r>
        <w:rPr>
          <w:rFonts w:hint="eastAsia"/>
        </w:rPr>
        <w:t>并经哈密市</w:t>
      </w:r>
      <w:r>
        <w:rPr>
          <w:rFonts w:hint="eastAsia"/>
          <w:lang w:val="en-US" w:eastAsia="zh-CN"/>
        </w:rPr>
        <w:t>水利局审查批复</w:t>
      </w:r>
      <w:r>
        <w:t>，</w:t>
      </w:r>
      <w:r>
        <w:rPr>
          <w:rFonts w:hint="eastAsia"/>
          <w:lang w:val="en-US" w:eastAsia="zh-CN"/>
        </w:rPr>
        <w:t>其中</w:t>
      </w:r>
      <w:r>
        <w:rPr>
          <w:rFonts w:hint="eastAsia"/>
          <w:szCs w:val="32"/>
          <w:lang w:eastAsia="zh-CN"/>
        </w:rPr>
        <w:t>相关</w:t>
      </w:r>
      <w:r>
        <w:t>文件</w:t>
      </w:r>
      <w:r>
        <w:rPr>
          <w:rFonts w:hint="eastAsia"/>
        </w:rPr>
        <w:t>实施方案</w:t>
      </w:r>
      <w:r>
        <w:rPr>
          <w:rFonts w:hint="eastAsia"/>
          <w:lang w:val="en-US" w:eastAsia="zh-CN"/>
        </w:rPr>
        <w:t>通过自治区防汛抗旱服务中心审查。地下水超采治理地表水置换地下水工程一期</w:t>
      </w:r>
      <w:r>
        <w:t>（</w:t>
      </w:r>
      <w:r>
        <w:rPr>
          <w:rFonts w:hint="eastAsia"/>
          <w:lang w:val="en-US" w:eastAsia="zh-CN"/>
        </w:rPr>
        <w:t>东郊草场片区</w:t>
      </w:r>
      <w:r>
        <w:t>）</w:t>
      </w:r>
      <w:r>
        <w:rPr>
          <w:rFonts w:hint="eastAsia"/>
          <w:lang w:val="en-US" w:eastAsia="zh-CN"/>
        </w:rPr>
        <w:t>项目建议书、初步设计及概算经哈密市伊州区发展和改革委员会同意并批复，</w:t>
      </w:r>
      <w:r>
        <w:rPr>
          <w:rFonts w:hint="eastAsia"/>
        </w:rPr>
        <w:t>项目立项符合规定程序，立项相关审批文件完整，</w:t>
      </w:r>
      <w:r>
        <w:t>立项程序规范</w:t>
      </w:r>
      <w:r>
        <w:rPr>
          <w:rFonts w:hint="eastAsia"/>
        </w:rPr>
        <w:t>性较高</w:t>
      </w:r>
      <w:r>
        <w:t>。</w:t>
      </w:r>
      <w:r>
        <w:rPr>
          <w:rFonts w:hint="eastAsia"/>
        </w:rPr>
        <w:t>综上所述，该指标分值3分，根据评分标准得3分，得分率100%。</w:t>
      </w:r>
    </w:p>
    <w:p>
      <w:pPr>
        <w:pStyle w:val="26"/>
        <w:ind w:firstLine="640"/>
      </w:pPr>
      <w:r>
        <w:t>2.绩效目标</w:t>
      </w:r>
    </w:p>
    <w:p>
      <w:pPr>
        <w:pStyle w:val="26"/>
        <w:ind w:firstLine="640"/>
      </w:pPr>
      <w:r>
        <w:rPr>
          <w:rFonts w:hint="eastAsia"/>
        </w:rPr>
        <w:t>（</w:t>
      </w:r>
      <w:r>
        <w:t>1）</w:t>
      </w:r>
      <w:r>
        <w:rPr>
          <w:rFonts w:hint="eastAsia"/>
        </w:rPr>
        <w:t>绩效目标合理性</w:t>
      </w:r>
      <w:r>
        <w:t>（总分</w:t>
      </w:r>
      <w:r>
        <w:rPr>
          <w:rFonts w:hint="eastAsia"/>
        </w:rPr>
        <w:t>6</w:t>
      </w:r>
      <w:r>
        <w:t>分，得分</w:t>
      </w:r>
      <w:r>
        <w:rPr>
          <w:rFonts w:hint="eastAsia"/>
          <w:lang w:val="en-US" w:eastAsia="zh-CN"/>
        </w:rPr>
        <w:t>6</w:t>
      </w:r>
      <w:r>
        <w:t>分）。</w:t>
      </w:r>
      <w:r>
        <w:rPr>
          <w:rFonts w:hint="eastAsia"/>
        </w:rPr>
        <w:t>根据</w:t>
      </w:r>
      <w:r>
        <w:rPr>
          <w:rFonts w:hint="eastAsia"/>
          <w:lang w:val="en-US" w:eastAsia="zh-CN"/>
        </w:rPr>
        <w:t>单位提供的</w:t>
      </w:r>
      <w:r>
        <w:rPr>
          <w:rFonts w:hint="eastAsia"/>
          <w:lang w:eastAsia="zh-CN"/>
        </w:rPr>
        <w:t>关于提前下达2024年中央水利发展资金</w:t>
      </w:r>
      <w:r>
        <w:rPr>
          <w:rFonts w:hint="eastAsia"/>
        </w:rPr>
        <w:t>项目</w:t>
      </w:r>
      <w:r>
        <w:rPr>
          <w:rFonts w:hint="eastAsia"/>
          <w:lang w:val="en-US" w:eastAsia="zh-CN"/>
        </w:rPr>
        <w:t>绩效目标申报表</w:t>
      </w:r>
      <w:r>
        <w:rPr>
          <w:rFonts w:hint="eastAsia"/>
        </w:rPr>
        <w:t>，本项目已设置总目标与年度绩效目标，年度绩效目标已体现</w:t>
      </w:r>
      <w:r>
        <w:rPr>
          <w:rFonts w:hint="eastAsia"/>
          <w:lang w:eastAsia="zh-CN"/>
        </w:rPr>
        <w:t>关于提前下达2024年中央水利发展资金</w:t>
      </w:r>
      <w:r>
        <w:rPr>
          <w:rFonts w:hint="eastAsia"/>
        </w:rPr>
        <w:t>计划投入总体规模、</w:t>
      </w:r>
      <w:r>
        <w:rPr>
          <w:rFonts w:hint="eastAsia"/>
          <w:lang w:val="en-US" w:eastAsia="zh-CN"/>
        </w:rPr>
        <w:t>工程建设内容</w:t>
      </w:r>
      <w:r>
        <w:rPr>
          <w:rFonts w:hint="eastAsia"/>
        </w:rPr>
        <w:t>以及</w:t>
      </w:r>
      <w:r>
        <w:rPr>
          <w:rFonts w:hint="eastAsia"/>
          <w:lang w:val="en-US" w:eastAsia="zh-CN"/>
        </w:rPr>
        <w:t>工程建设</w:t>
      </w:r>
      <w:r>
        <w:rPr>
          <w:rFonts w:hint="eastAsia"/>
        </w:rPr>
        <w:t>后预期产生效益等内容，年度绩效目标明确、可衡量、可实现且和总目标相关，综上所述，该指标分值6分，根据评分标准得</w:t>
      </w:r>
      <w:r>
        <w:rPr>
          <w:rFonts w:hint="eastAsia"/>
          <w:lang w:val="en-US" w:eastAsia="zh-CN"/>
        </w:rPr>
        <w:t>6</w:t>
      </w:r>
      <w:r>
        <w:rPr>
          <w:rFonts w:hint="eastAsia"/>
        </w:rPr>
        <w:t>分，得分率</w:t>
      </w:r>
      <w:r>
        <w:rPr>
          <w:rFonts w:hint="eastAsia"/>
          <w:lang w:val="en-US" w:eastAsia="zh-CN"/>
        </w:rPr>
        <w:t>100</w:t>
      </w:r>
      <w:r>
        <w:rPr>
          <w:rFonts w:hint="eastAsia"/>
        </w:rPr>
        <w:t>%。</w:t>
      </w:r>
    </w:p>
    <w:p>
      <w:pPr>
        <w:pStyle w:val="26"/>
        <w:ind w:firstLine="640"/>
        <w:rPr>
          <w:highlight w:val="yellow"/>
        </w:rPr>
      </w:pPr>
      <w:r>
        <w:rPr>
          <w:rFonts w:hint="eastAsia"/>
        </w:rPr>
        <w:t>（</w:t>
      </w:r>
      <w:r>
        <w:t>2）</w:t>
      </w:r>
      <w:r>
        <w:rPr>
          <w:rFonts w:hint="eastAsia"/>
        </w:rPr>
        <w:t>绩效指标明确性</w:t>
      </w:r>
      <w:r>
        <w:t>（总分</w:t>
      </w:r>
      <w:r>
        <w:rPr>
          <w:rFonts w:hint="eastAsia"/>
        </w:rPr>
        <w:t>6</w:t>
      </w:r>
      <w:r>
        <w:t>分，得分</w:t>
      </w:r>
      <w:r>
        <w:rPr>
          <w:rFonts w:hint="eastAsia"/>
          <w:lang w:val="en-US" w:eastAsia="zh-CN"/>
        </w:rPr>
        <w:t>6</w:t>
      </w:r>
      <w:r>
        <w:t>分）。</w:t>
      </w:r>
      <w:r>
        <w:rPr>
          <w:rFonts w:hint="eastAsia"/>
        </w:rPr>
        <w:t>根据</w:t>
      </w:r>
      <w:r>
        <w:rPr>
          <w:rFonts w:hint="eastAsia"/>
          <w:lang w:val="en-US" w:eastAsia="zh-CN"/>
        </w:rPr>
        <w:t>单位提供的</w:t>
      </w:r>
      <w:r>
        <w:rPr>
          <w:rFonts w:hint="eastAsia"/>
          <w:lang w:eastAsia="zh-CN"/>
        </w:rPr>
        <w:t>关于提前下达2024年中央水利发展资金</w:t>
      </w:r>
      <w:r>
        <w:rPr>
          <w:rFonts w:hint="eastAsia"/>
        </w:rPr>
        <w:t>项目</w:t>
      </w:r>
      <w:r>
        <w:rPr>
          <w:rFonts w:hint="eastAsia"/>
          <w:lang w:val="en-US" w:eastAsia="zh-CN"/>
        </w:rPr>
        <w:t>绩效目标申报表</w:t>
      </w:r>
      <w:r>
        <w:rPr>
          <w:rFonts w:hint="eastAsia"/>
        </w:rPr>
        <w:t>，</w:t>
      </w:r>
      <w:r>
        <w:rPr>
          <w:rFonts w:hint="eastAsia"/>
          <w:lang w:eastAsia="zh-CN"/>
        </w:rPr>
        <w:t>哈密市伊州区水利局</w:t>
      </w:r>
      <w:r>
        <w:rPr>
          <w:rFonts w:hint="eastAsia"/>
        </w:rPr>
        <w:t>已将项目绩效目标细化分解为数量、质量、时效、经济成本、</w:t>
      </w:r>
      <w:r>
        <w:rPr>
          <w:rFonts w:hint="eastAsia"/>
          <w:lang w:val="en-US" w:eastAsia="zh-CN"/>
        </w:rPr>
        <w:t>社会</w:t>
      </w:r>
      <w:r>
        <w:rPr>
          <w:rFonts w:hint="eastAsia"/>
        </w:rPr>
        <w:t>效益、满意度等具体的绩效指标，</w:t>
      </w:r>
      <w:r>
        <w:rPr>
          <w:rFonts w:hint="eastAsia"/>
          <w:lang w:val="en-US" w:eastAsia="zh-CN"/>
        </w:rPr>
        <w:t>产出指标</w:t>
      </w:r>
      <w:r>
        <w:rPr>
          <w:rFonts w:hint="eastAsia"/>
        </w:rPr>
        <w:t>与</w:t>
      </w:r>
      <w:r>
        <w:rPr>
          <w:rFonts w:hint="eastAsia"/>
          <w:lang w:val="en-US" w:eastAsia="zh-CN"/>
        </w:rPr>
        <w:t>项目实施内容相关，与</w:t>
      </w:r>
      <w:r>
        <w:rPr>
          <w:rFonts w:hint="eastAsia"/>
        </w:rPr>
        <w:t>项目目标计划数对应的问题，</w:t>
      </w:r>
      <w:r>
        <w:rPr>
          <w:rFonts w:hint="eastAsia"/>
          <w:lang w:val="en-US" w:eastAsia="zh-CN"/>
        </w:rPr>
        <w:t>预期产出效益符合正常业绩水平，与预算确定的项目投资额匹配</w:t>
      </w:r>
      <w:r>
        <w:rPr>
          <w:rFonts w:hint="eastAsia"/>
        </w:rPr>
        <w:t>。综上所述，该指标分值6分，根据评分标准得</w:t>
      </w:r>
      <w:r>
        <w:rPr>
          <w:rFonts w:hint="eastAsia"/>
          <w:lang w:val="en-US" w:eastAsia="zh-CN"/>
        </w:rPr>
        <w:t>6</w:t>
      </w:r>
      <w:r>
        <w:rPr>
          <w:rFonts w:hint="eastAsia"/>
        </w:rPr>
        <w:t>分，得分率</w:t>
      </w:r>
      <w:r>
        <w:rPr>
          <w:rFonts w:hint="eastAsia"/>
          <w:lang w:val="en-US" w:eastAsia="zh-CN"/>
        </w:rPr>
        <w:t>10</w:t>
      </w:r>
      <w:r>
        <w:rPr>
          <w:rFonts w:hint="eastAsia"/>
        </w:rPr>
        <w:t>0%。</w:t>
      </w:r>
    </w:p>
    <w:p>
      <w:pPr>
        <w:pStyle w:val="26"/>
        <w:ind w:firstLine="640"/>
      </w:pPr>
      <w:r>
        <w:t>3.</w:t>
      </w:r>
      <w:r>
        <w:rPr>
          <w:rFonts w:hint="eastAsia"/>
        </w:rPr>
        <w:t>预算编制</w:t>
      </w:r>
    </w:p>
    <w:p>
      <w:pPr>
        <w:pStyle w:val="26"/>
        <w:ind w:firstLine="640"/>
      </w:pPr>
      <w:r>
        <w:rPr>
          <w:rFonts w:hint="eastAsia"/>
        </w:rPr>
        <w:t>（</w:t>
      </w:r>
      <w:r>
        <w:t>1）</w:t>
      </w:r>
      <w:r>
        <w:rPr>
          <w:rFonts w:hint="eastAsia"/>
        </w:rPr>
        <w:t>预算编制科学性</w:t>
      </w:r>
      <w:r>
        <w:t>（总分</w:t>
      </w:r>
      <w:r>
        <w:rPr>
          <w:rFonts w:hint="eastAsia"/>
        </w:rPr>
        <w:t>3</w:t>
      </w:r>
      <w:r>
        <w:t>分，得分</w:t>
      </w:r>
      <w:r>
        <w:rPr>
          <w:rFonts w:hint="eastAsia"/>
        </w:rPr>
        <w:t>3</w:t>
      </w:r>
      <w:r>
        <w:t>分）。</w:t>
      </w:r>
      <w:r>
        <w:rPr>
          <w:rFonts w:hint="eastAsia"/>
        </w:rPr>
        <w:t>山洪灾</w:t>
      </w:r>
      <w:r>
        <w:rPr>
          <w:rFonts w:hint="eastAsia"/>
          <w:lang w:val="en-US" w:eastAsia="zh-CN"/>
        </w:rPr>
        <w:t>害</w:t>
      </w:r>
      <w:r>
        <w:rPr>
          <w:rFonts w:hint="eastAsia"/>
        </w:rPr>
        <w:t>防治</w:t>
      </w:r>
      <w:r>
        <w:t>（</w:t>
      </w:r>
      <w:r>
        <w:rPr>
          <w:rFonts w:hint="eastAsia"/>
        </w:rPr>
        <w:t>群测</w:t>
      </w:r>
      <w:r>
        <w:rPr>
          <w:rFonts w:hint="eastAsia"/>
          <w:lang w:val="en-US" w:eastAsia="zh-CN"/>
        </w:rPr>
        <w:t>群防</w:t>
      </w:r>
      <w:r>
        <w:rPr>
          <w:rFonts w:hint="eastAsia"/>
        </w:rPr>
        <w:t>体系建设</w:t>
      </w:r>
      <w:r>
        <w:t>）</w:t>
      </w:r>
      <w:r>
        <w:rPr>
          <w:rFonts w:hint="eastAsia"/>
          <w:lang w:eastAsia="zh-CN"/>
        </w:rPr>
        <w:t>、山洪</w:t>
      </w:r>
      <w:r>
        <w:rPr>
          <w:rFonts w:hint="eastAsia"/>
        </w:rPr>
        <w:t>灾</w:t>
      </w:r>
      <w:r>
        <w:rPr>
          <w:rFonts w:hint="eastAsia"/>
          <w:lang w:val="en-US" w:eastAsia="zh-CN"/>
        </w:rPr>
        <w:t>害</w:t>
      </w:r>
      <w:r>
        <w:rPr>
          <w:rFonts w:hint="eastAsia"/>
          <w:lang w:eastAsia="zh-CN"/>
        </w:rPr>
        <w:t>防治</w:t>
      </w:r>
      <w:r>
        <w:rPr>
          <w:rFonts w:hint="eastAsia"/>
          <w:lang w:val="en-US" w:eastAsia="zh-CN"/>
        </w:rPr>
        <w:t>维</w:t>
      </w:r>
      <w:r>
        <w:rPr>
          <w:rFonts w:hint="eastAsia"/>
          <w:lang w:eastAsia="zh-CN"/>
        </w:rPr>
        <w:t>修养护、农村饮水工程</w:t>
      </w:r>
      <w:r>
        <w:rPr>
          <w:rFonts w:hint="eastAsia"/>
          <w:lang w:val="en-US" w:eastAsia="zh-CN"/>
        </w:rPr>
        <w:t>维</w:t>
      </w:r>
      <w:r>
        <w:rPr>
          <w:rFonts w:hint="eastAsia"/>
          <w:lang w:eastAsia="zh-CN"/>
        </w:rPr>
        <w:t>修养护、小型水库维修养护、农业水价综合改革、地下水超采治理</w:t>
      </w:r>
      <w:r>
        <w:rPr>
          <w:rFonts w:hint="eastAsia"/>
          <w:lang w:val="en-US" w:eastAsia="zh-CN"/>
        </w:rPr>
        <w:t>均按照工程量及单价</w:t>
      </w:r>
      <w:r>
        <w:rPr>
          <w:rFonts w:hint="eastAsia"/>
        </w:rPr>
        <w:t>进行测算，项目预算编制依据充分合理、细化程度较高，本项目预算编制科学性较强。综上所述，该指标分值3分，根据评分标准得3分，得分率100%。</w:t>
      </w:r>
    </w:p>
    <w:p>
      <w:pPr>
        <w:pStyle w:val="26"/>
        <w:ind w:firstLine="640"/>
      </w:pPr>
      <w:r>
        <w:rPr>
          <w:rFonts w:hint="eastAsia"/>
        </w:rPr>
        <w:t>（</w:t>
      </w:r>
      <w:r>
        <w:t>2）</w:t>
      </w:r>
      <w:r>
        <w:rPr>
          <w:rFonts w:hint="eastAsia"/>
        </w:rPr>
        <w:t>资金分配合理性</w:t>
      </w:r>
      <w:r>
        <w:t>（总分</w:t>
      </w:r>
      <w:r>
        <w:rPr>
          <w:rFonts w:hint="eastAsia"/>
        </w:rPr>
        <w:t>3</w:t>
      </w:r>
      <w:r>
        <w:t>分，得分</w:t>
      </w:r>
      <w:r>
        <w:rPr>
          <w:rFonts w:hint="eastAsia"/>
        </w:rPr>
        <w:t>3</w:t>
      </w:r>
      <w:r>
        <w:t>分）。</w:t>
      </w:r>
      <w:r>
        <w:rPr>
          <w:rFonts w:hint="eastAsia"/>
          <w:lang w:eastAsia="zh-CN"/>
        </w:rPr>
        <w:t>项目依据</w:t>
      </w:r>
      <w:r>
        <w:rPr>
          <w:rFonts w:hint="eastAsia"/>
          <w:szCs w:val="32"/>
          <w:lang w:eastAsia="zh-CN"/>
        </w:rPr>
        <w:t>相关</w:t>
      </w:r>
      <w:r>
        <w:t>文件</w:t>
      </w:r>
      <w:r>
        <w:rPr>
          <w:rFonts w:hint="eastAsia"/>
          <w:lang w:val="en-US" w:eastAsia="zh-CN"/>
        </w:rPr>
        <w:t>所附提前下达 2024年中央水利发展资金分配表</w:t>
      </w:r>
      <w:r>
        <w:rPr>
          <w:rFonts w:hint="eastAsia"/>
        </w:rPr>
        <w:t>进行分配，</w:t>
      </w:r>
      <w:r>
        <w:rPr>
          <w:rFonts w:hint="eastAsia"/>
          <w:lang w:val="en-US" w:eastAsia="zh-CN"/>
        </w:rPr>
        <w:t>项目实施单位</w:t>
      </w:r>
      <w:r>
        <w:rPr>
          <w:rFonts w:hint="eastAsia"/>
        </w:rPr>
        <w:t>实际分配额度与2024年中央水利发展资金政策落实所需资金额度匹配，本项目资金分配合理性较高。综上所述，该指标分值3分，根据评分标准得3分，得分率100%。</w:t>
      </w:r>
    </w:p>
    <w:p>
      <w:pPr>
        <w:pStyle w:val="31"/>
        <w:spacing w:before="0" w:after="0"/>
        <w:ind w:firstLine="643"/>
        <w:rPr>
          <w:rFonts w:hint="eastAsia"/>
          <w:b/>
          <w:bCs w:val="0"/>
        </w:rPr>
      </w:pPr>
      <w:bookmarkStart w:id="10" w:name="_Toc172283518"/>
      <w:r>
        <w:rPr>
          <w:rFonts w:hint="eastAsia"/>
          <w:b/>
          <w:bCs w:val="0"/>
        </w:rPr>
        <w:t>（二）项目过程情况</w:t>
      </w:r>
      <w:bookmarkEnd w:id="10"/>
    </w:p>
    <w:p>
      <w:pPr>
        <w:pStyle w:val="26"/>
        <w:ind w:firstLine="640"/>
      </w:pPr>
      <w:r>
        <w:rPr>
          <w:rFonts w:hint="eastAsia"/>
        </w:rPr>
        <w:t>过程指标主要包括资金管理、组织实施</w:t>
      </w:r>
      <w:r>
        <w:t>2</w:t>
      </w:r>
      <w:r>
        <w:rPr>
          <w:rFonts w:hint="eastAsia"/>
        </w:rPr>
        <w:t>项</w:t>
      </w:r>
      <w:r>
        <w:t>二级指标，</w:t>
      </w:r>
      <w:r>
        <w:rPr>
          <w:rFonts w:hint="eastAsia"/>
        </w:rPr>
        <w:t>5</w:t>
      </w:r>
      <w:r>
        <w:t>项三级指标，基础总分</w:t>
      </w:r>
      <w:r>
        <w:rPr>
          <w:rFonts w:hint="eastAsia"/>
        </w:rPr>
        <w:t>16</w:t>
      </w:r>
      <w:r>
        <w:t>分，合计得分</w:t>
      </w:r>
      <w:r>
        <w:rPr>
          <w:rFonts w:hint="eastAsia"/>
          <w:lang w:val="en-US" w:eastAsia="zh-CN"/>
        </w:rPr>
        <w:t>14.36</w:t>
      </w:r>
      <w:r>
        <w:t>分。</w:t>
      </w:r>
    </w:p>
    <w:p>
      <w:pPr>
        <w:pStyle w:val="26"/>
        <w:ind w:firstLine="640"/>
      </w:pPr>
      <w:r>
        <w:t>1.资金管理</w:t>
      </w:r>
    </w:p>
    <w:p>
      <w:pPr>
        <w:pStyle w:val="26"/>
        <w:ind w:firstLine="640"/>
      </w:pPr>
      <w:r>
        <w:rPr>
          <w:rFonts w:hint="eastAsia"/>
        </w:rPr>
        <w:t>（</w:t>
      </w:r>
      <w:r>
        <w:t>1）资金到位率（总分</w:t>
      </w:r>
      <w:r>
        <w:rPr>
          <w:rFonts w:hint="eastAsia"/>
        </w:rPr>
        <w:t>4</w:t>
      </w:r>
      <w:r>
        <w:t>分，得分</w:t>
      </w:r>
      <w:r>
        <w:rPr>
          <w:rFonts w:hint="eastAsia"/>
        </w:rPr>
        <w:t>4</w:t>
      </w:r>
      <w:r>
        <w:t>分）。</w:t>
      </w:r>
      <w:r>
        <w:rPr>
          <w:rFonts w:hint="eastAsia"/>
          <w:lang w:eastAsia="zh-CN"/>
        </w:rPr>
        <w:t>关于提前下达2024年中央水利发展资金</w:t>
      </w:r>
      <w:r>
        <w:rPr>
          <w:rFonts w:hint="eastAsia"/>
        </w:rPr>
        <w:t>项目全年预算金额为2682.50</w:t>
      </w:r>
      <w:r>
        <w:t>万元，</w:t>
      </w:r>
      <w:r>
        <w:rPr>
          <w:rFonts w:hint="eastAsia"/>
        </w:rPr>
        <w:t>根据哈密市财政局下达</w:t>
      </w:r>
      <w:r>
        <w:rPr>
          <w:rFonts w:hint="eastAsia"/>
          <w:szCs w:val="32"/>
          <w:lang w:eastAsia="zh-CN"/>
        </w:rPr>
        <w:t>相关</w:t>
      </w:r>
      <w:r>
        <w:t>文件</w:t>
      </w:r>
      <w:r>
        <w:rPr>
          <w:rFonts w:hint="eastAsia"/>
        </w:rPr>
        <w:t>与预算管理一体化平台本项目预算指标执行情况查询结果，截至202</w:t>
      </w:r>
      <w:r>
        <w:rPr>
          <w:rFonts w:hint="eastAsia"/>
          <w:lang w:val="en-US" w:eastAsia="zh-CN"/>
        </w:rPr>
        <w:t>4</w:t>
      </w:r>
      <w:r>
        <w:rPr>
          <w:rFonts w:hint="eastAsia"/>
        </w:rPr>
        <w:t>年12月31日，本项目实际到位资金为2682.50万元，资金到位率为</w:t>
      </w:r>
      <w:r>
        <w:t>100%</w:t>
      </w:r>
      <w:r>
        <w:rPr>
          <w:rFonts w:hint="eastAsia"/>
        </w:rPr>
        <w:t>。综上所述，该指标分值4分，根据评分标准得4分，得分率100%。</w:t>
      </w:r>
    </w:p>
    <w:p>
      <w:pPr>
        <w:pStyle w:val="26"/>
        <w:ind w:firstLine="640"/>
      </w:pPr>
      <w:r>
        <w:rPr>
          <w:rFonts w:hint="eastAsia"/>
        </w:rPr>
        <w:t>（2</w:t>
      </w:r>
      <w:r>
        <w:t>）</w:t>
      </w:r>
      <w:r>
        <w:rPr>
          <w:rFonts w:hint="eastAsia"/>
        </w:rPr>
        <w:t>预算执行</w:t>
      </w:r>
      <w:r>
        <w:t>率（总分</w:t>
      </w:r>
      <w:r>
        <w:rPr>
          <w:rFonts w:hint="eastAsia"/>
        </w:rPr>
        <w:t>4</w:t>
      </w:r>
      <w:r>
        <w:t>分，得分</w:t>
      </w:r>
      <w:r>
        <w:rPr>
          <w:rFonts w:hint="eastAsia"/>
          <w:lang w:val="en-US" w:eastAsia="zh-CN"/>
        </w:rPr>
        <w:t>3.36</w:t>
      </w:r>
      <w:r>
        <w:t>分）。</w:t>
      </w:r>
      <w:r>
        <w:rPr>
          <w:rFonts w:hint="eastAsia"/>
          <w:lang w:eastAsia="zh-CN"/>
        </w:rPr>
        <w:t>关于提前下达2024年中央水利发展资金</w:t>
      </w:r>
      <w:r>
        <w:rPr>
          <w:rFonts w:hint="eastAsia"/>
        </w:rPr>
        <w:t>项目实际到位资金为2682.50万元</w:t>
      </w:r>
      <w:r>
        <w:t>。</w:t>
      </w:r>
      <w:r>
        <w:rPr>
          <w:rFonts w:hint="eastAsia"/>
        </w:rPr>
        <w:t>根据</w:t>
      </w:r>
      <w:r>
        <w:rPr>
          <w:rFonts w:hint="eastAsia"/>
          <w:lang w:eastAsia="zh-CN"/>
        </w:rPr>
        <w:t>哈密市伊州区水利局</w:t>
      </w:r>
      <w:r>
        <w:rPr>
          <w:rFonts w:hint="eastAsia"/>
        </w:rPr>
        <w:t>所提供本项目国库集中支付凭证，截至2</w:t>
      </w:r>
      <w:r>
        <w:t>02</w:t>
      </w:r>
      <w:r>
        <w:rPr>
          <w:rFonts w:hint="eastAsia"/>
          <w:lang w:val="en-US" w:eastAsia="zh-CN"/>
        </w:rPr>
        <w:t>4</w:t>
      </w:r>
      <w:r>
        <w:rPr>
          <w:rFonts w:hint="eastAsia"/>
        </w:rPr>
        <w:t>年12月31日，本项目实际支出2251.48万元，项目预算执行率为83.93%</w:t>
      </w:r>
      <w:r>
        <w:t>。</w:t>
      </w:r>
      <w:r>
        <w:rPr>
          <w:rFonts w:hint="eastAsia"/>
        </w:rPr>
        <w:t>综上所述，该指标分值4分，根据评分标准得</w:t>
      </w:r>
      <w:r>
        <w:rPr>
          <w:rFonts w:hint="eastAsia"/>
          <w:lang w:val="en-US" w:eastAsia="zh-CN"/>
        </w:rPr>
        <w:t>3.36</w:t>
      </w:r>
      <w:r>
        <w:rPr>
          <w:rFonts w:hint="eastAsia"/>
        </w:rPr>
        <w:t>分，得分率</w:t>
      </w:r>
      <w:r>
        <w:rPr>
          <w:rFonts w:hint="eastAsia"/>
          <w:lang w:val="en-US" w:eastAsia="zh-CN"/>
        </w:rPr>
        <w:t>84</w:t>
      </w:r>
      <w:r>
        <w:rPr>
          <w:rFonts w:hint="eastAsia"/>
        </w:rPr>
        <w:t>%。</w:t>
      </w:r>
    </w:p>
    <w:p>
      <w:pPr>
        <w:pStyle w:val="26"/>
        <w:ind w:firstLine="640"/>
      </w:pPr>
      <w:r>
        <w:rPr>
          <w:rFonts w:hint="eastAsia"/>
        </w:rPr>
        <w:t>（3</w:t>
      </w:r>
      <w:r>
        <w:t>）</w:t>
      </w:r>
      <w:r>
        <w:rPr>
          <w:rFonts w:hint="eastAsia"/>
        </w:rPr>
        <w:t>资金使用合规性</w:t>
      </w:r>
      <w:r>
        <w:t>（总分</w:t>
      </w:r>
      <w:r>
        <w:rPr>
          <w:rFonts w:hint="eastAsia"/>
        </w:rPr>
        <w:t>4</w:t>
      </w:r>
      <w:r>
        <w:t>分，得分</w:t>
      </w:r>
      <w:r>
        <w:rPr>
          <w:rFonts w:hint="eastAsia"/>
        </w:rPr>
        <w:t>4</w:t>
      </w:r>
      <w:r>
        <w:t>分）。</w:t>
      </w:r>
      <w:r>
        <w:rPr>
          <w:rFonts w:hint="eastAsia"/>
        </w:rPr>
        <w:t>根据</w:t>
      </w:r>
      <w:r>
        <w:rPr>
          <w:rFonts w:hint="eastAsia"/>
          <w:lang w:eastAsia="zh-CN"/>
        </w:rPr>
        <w:t>哈密市伊州区水利局</w:t>
      </w:r>
      <w:r>
        <w:rPr>
          <w:rFonts w:hint="eastAsia"/>
        </w:rPr>
        <w:t>所提供本项目</w:t>
      </w:r>
      <w:r>
        <w:rPr>
          <w:rFonts w:hint="eastAsia"/>
          <w:lang w:val="en-US" w:eastAsia="zh-CN"/>
        </w:rPr>
        <w:t>相关发票、</w:t>
      </w:r>
      <w:r>
        <w:rPr>
          <w:rFonts w:hint="eastAsia"/>
        </w:rPr>
        <w:t>资金支付审批表、资金发放调度表、国库集中支付凭证、</w:t>
      </w:r>
      <w:r>
        <w:rPr>
          <w:rFonts w:hint="eastAsia"/>
          <w:lang w:val="en-US" w:eastAsia="zh-CN"/>
        </w:rPr>
        <w:t>工程结算审核报告</w:t>
      </w:r>
      <w:r>
        <w:rPr>
          <w:rFonts w:hint="eastAsia"/>
        </w:rPr>
        <w:t>，本项目资金全部用于哈密市伊州区</w:t>
      </w:r>
      <w:r>
        <w:rPr>
          <w:rFonts w:hint="eastAsia"/>
          <w:lang w:val="en-US" w:eastAsia="zh-CN"/>
        </w:rPr>
        <w:t>2024年</w:t>
      </w:r>
      <w:r>
        <w:rPr>
          <w:rFonts w:hint="eastAsia"/>
          <w:lang w:eastAsia="zh-CN"/>
        </w:rPr>
        <w:t>水利发展</w:t>
      </w:r>
      <w:r>
        <w:rPr>
          <w:rFonts w:hint="eastAsia"/>
        </w:rPr>
        <w:t>工作，项目资金拨付履行了完整的审批程序和手续，项目资金支出符合预算批复规定用途且不存在资金截留、挤占、挪用、虚列支出等情况，项目资金使用合规。综上所述，该指标分值4分，根据评分标准得4分，得分率100%。</w:t>
      </w:r>
    </w:p>
    <w:p>
      <w:pPr>
        <w:pStyle w:val="26"/>
        <w:ind w:firstLine="640"/>
      </w:pPr>
      <w:r>
        <w:t>2.</w:t>
      </w:r>
      <w:r>
        <w:rPr>
          <w:rFonts w:hint="eastAsia"/>
        </w:rPr>
        <w:t>组织实施</w:t>
      </w:r>
    </w:p>
    <w:p>
      <w:pPr>
        <w:pStyle w:val="26"/>
        <w:ind w:firstLine="640"/>
        <w:rPr>
          <w:highlight w:val="yellow"/>
        </w:rPr>
      </w:pPr>
      <w:r>
        <w:rPr>
          <w:rFonts w:hint="eastAsia"/>
        </w:rPr>
        <w:t>（</w:t>
      </w:r>
      <w:r>
        <w:t>1）</w:t>
      </w:r>
      <w:r>
        <w:rPr>
          <w:rFonts w:hint="eastAsia"/>
        </w:rPr>
        <w:t>管理制度健全性</w:t>
      </w:r>
      <w:r>
        <w:t>（总分2分，得分</w:t>
      </w:r>
      <w:r>
        <w:rPr>
          <w:rFonts w:hint="eastAsia"/>
          <w:lang w:val="en-US" w:eastAsia="zh-CN"/>
        </w:rPr>
        <w:t>1</w:t>
      </w:r>
      <w:r>
        <w:t>分）。</w:t>
      </w:r>
      <w:r>
        <w:rPr>
          <w:rFonts w:hint="eastAsia"/>
          <w:bCs/>
          <w:lang w:eastAsia="zh-CN"/>
        </w:rPr>
        <w:t>哈密市伊州区水利局</w:t>
      </w:r>
      <w:r>
        <w:rPr>
          <w:rFonts w:hint="eastAsia"/>
          <w:bCs/>
        </w:rPr>
        <w:t>作为本项目实施单位</w:t>
      </w:r>
      <w:r>
        <w:rPr>
          <w:rFonts w:hint="eastAsia"/>
        </w:rPr>
        <w:t>，已制定单位财务管理制度和本项目年度实施方案，其中：财务管理制度明确了单位预算管理、</w:t>
      </w:r>
      <w:r>
        <w:rPr>
          <w:rFonts w:hint="eastAsia"/>
          <w:lang w:val="en-US" w:eastAsia="zh-CN"/>
        </w:rPr>
        <w:t>收支</w:t>
      </w:r>
      <w:r>
        <w:rPr>
          <w:rFonts w:hint="eastAsia"/>
        </w:rPr>
        <w:t>管理、</w:t>
      </w:r>
      <w:r>
        <w:rPr>
          <w:rFonts w:hint="eastAsia"/>
          <w:lang w:val="en-US" w:eastAsia="zh-CN"/>
        </w:rPr>
        <w:t>采购管理</w:t>
      </w:r>
      <w:r>
        <w:rPr>
          <w:rFonts w:hint="eastAsia"/>
        </w:rPr>
        <w:t>工作等方面相关要求</w:t>
      </w:r>
      <w:r>
        <w:rPr>
          <w:rFonts w:hint="eastAsia"/>
          <w:lang w:eastAsia="zh-CN"/>
        </w:rPr>
        <w:t>，</w:t>
      </w:r>
      <w:r>
        <w:rPr>
          <w:rFonts w:hint="eastAsia"/>
        </w:rPr>
        <w:t>项目年度实施方案已明确项目工作目标与任务、责任主体与工作流程、工作方案与实施进度安排及</w:t>
      </w:r>
      <w:r>
        <w:rPr>
          <w:rFonts w:hint="eastAsia"/>
          <w:lang w:val="en-US" w:eastAsia="zh-CN"/>
        </w:rPr>
        <w:t>验收</w:t>
      </w:r>
      <w:r>
        <w:rPr>
          <w:rFonts w:hint="eastAsia"/>
        </w:rPr>
        <w:t>要求等方面内容</w:t>
      </w:r>
      <w:r>
        <w:rPr>
          <w:rFonts w:hint="eastAsia"/>
          <w:lang w:val="en-US" w:eastAsia="zh-CN"/>
        </w:rPr>
        <w:t>，但项目相关单位未建立相关水利设施设备管理维护制度，设施设备在运行、养护、应急等环节缺乏规范指引，易引发安全风险、功能衰减、资源浪费等问题，项目制度健全性和完整性有待提高</w:t>
      </w:r>
      <w:r>
        <w:rPr>
          <w:rFonts w:hint="eastAsia"/>
        </w:rPr>
        <w:t>。综上所述，该指标分值2分，根据评分标准得</w:t>
      </w:r>
      <w:r>
        <w:rPr>
          <w:rFonts w:hint="eastAsia"/>
          <w:lang w:val="en-US" w:eastAsia="zh-CN"/>
        </w:rPr>
        <w:t>1</w:t>
      </w:r>
      <w:r>
        <w:rPr>
          <w:rFonts w:hint="eastAsia"/>
        </w:rPr>
        <w:t>分，得分率</w:t>
      </w:r>
      <w:r>
        <w:rPr>
          <w:rFonts w:hint="eastAsia"/>
          <w:lang w:val="en-US" w:eastAsia="zh-CN"/>
        </w:rPr>
        <w:t>5</w:t>
      </w:r>
      <w:r>
        <w:rPr>
          <w:rFonts w:hint="eastAsia"/>
        </w:rPr>
        <w:t>0%。</w:t>
      </w:r>
    </w:p>
    <w:p>
      <w:pPr>
        <w:pStyle w:val="26"/>
        <w:ind w:firstLine="640"/>
        <w:rPr>
          <w:highlight w:val="yellow"/>
        </w:rPr>
      </w:pPr>
      <w:r>
        <w:rPr>
          <w:rFonts w:hint="eastAsia"/>
        </w:rPr>
        <w:t>（</w:t>
      </w:r>
      <w:r>
        <w:t>2）</w:t>
      </w:r>
      <w:r>
        <w:rPr>
          <w:rFonts w:hint="eastAsia"/>
        </w:rPr>
        <w:t>制度执行有效性</w:t>
      </w:r>
      <w:r>
        <w:t>（总分</w:t>
      </w:r>
      <w:r>
        <w:rPr>
          <w:rFonts w:hint="eastAsia"/>
        </w:rPr>
        <w:t>2</w:t>
      </w:r>
      <w:r>
        <w:t>分，得分</w:t>
      </w:r>
      <w:r>
        <w:rPr>
          <w:rFonts w:hint="eastAsia"/>
          <w:lang w:val="en-US" w:eastAsia="zh-CN"/>
        </w:rPr>
        <w:t>2</w:t>
      </w:r>
      <w:r>
        <w:t>分）</w:t>
      </w:r>
      <w:r>
        <w:rPr>
          <w:rFonts w:hint="eastAsia"/>
        </w:rPr>
        <w:t>。</w:t>
      </w:r>
      <w:r>
        <w:rPr>
          <w:rFonts w:hint="eastAsia"/>
          <w:bCs/>
        </w:rPr>
        <w:t>根据</w:t>
      </w:r>
      <w:r>
        <w:rPr>
          <w:rFonts w:hint="eastAsia"/>
          <w:bCs/>
          <w:lang w:eastAsia="zh-CN"/>
        </w:rPr>
        <w:t>哈密市伊州区水利局</w:t>
      </w:r>
      <w:r>
        <w:rPr>
          <w:rFonts w:hint="eastAsia"/>
          <w:bCs/>
        </w:rPr>
        <w:t>所提供项目</w:t>
      </w:r>
      <w:r>
        <w:rPr>
          <w:rFonts w:hint="eastAsia"/>
          <w:bCs/>
          <w:lang w:val="en-US" w:eastAsia="zh-CN"/>
        </w:rPr>
        <w:t>工</w:t>
      </w:r>
      <w:r>
        <w:rPr>
          <w:rFonts w:hint="eastAsia"/>
          <w:bCs/>
        </w:rPr>
        <w:t>程结算审核报告</w:t>
      </w:r>
      <w:r>
        <w:rPr>
          <w:rFonts w:hint="eastAsia"/>
          <w:bCs/>
          <w:lang w:eastAsia="zh-CN"/>
        </w:rPr>
        <w:t>、</w:t>
      </w:r>
      <w:r>
        <w:rPr>
          <w:rFonts w:hint="eastAsia"/>
          <w:bCs/>
        </w:rPr>
        <w:t>项目资金支付审批表、国库集中支付凭证</w:t>
      </w:r>
      <w:r>
        <w:rPr>
          <w:rFonts w:hint="eastAsia"/>
          <w:bCs/>
          <w:lang w:eastAsia="zh-CN"/>
        </w:rPr>
        <w:t>、</w:t>
      </w:r>
      <w:r>
        <w:rPr>
          <w:rFonts w:hint="eastAsia"/>
          <w:bCs/>
          <w:lang w:val="en-US" w:eastAsia="zh-CN"/>
        </w:rPr>
        <w:t>项目验收报告</w:t>
      </w:r>
      <w:r>
        <w:rPr>
          <w:rFonts w:hint="eastAsia"/>
          <w:bCs/>
        </w:rPr>
        <w:t>等相关资料，项目执行遵守相关法律法规和业务管理制度规定</w:t>
      </w:r>
      <w:r>
        <w:rPr>
          <w:rFonts w:hint="eastAsia"/>
          <w:bCs/>
          <w:lang w:eastAsia="zh-CN"/>
        </w:rPr>
        <w:t>，</w:t>
      </w:r>
      <w:r>
        <w:rPr>
          <w:rFonts w:hint="eastAsia"/>
          <w:bCs/>
        </w:rPr>
        <w:t>项目调整及支出调整手续完备</w:t>
      </w:r>
      <w:r>
        <w:rPr>
          <w:rFonts w:hint="eastAsia"/>
          <w:bCs/>
          <w:lang w:eastAsia="zh-CN"/>
        </w:rPr>
        <w:t>，</w:t>
      </w:r>
      <w:r>
        <w:rPr>
          <w:rFonts w:hint="eastAsia"/>
          <w:bCs/>
        </w:rPr>
        <w:t>项目业务工作开展所需</w:t>
      </w:r>
      <w:r>
        <w:rPr>
          <w:rFonts w:hint="eastAsia"/>
          <w:bCs/>
          <w:lang w:val="en-US" w:eastAsia="zh-CN"/>
        </w:rPr>
        <w:t>人员及设备支撑到位，结算、验收等资料齐全并及时归档，</w:t>
      </w:r>
      <w:r>
        <w:rPr>
          <w:rFonts w:hint="eastAsia"/>
        </w:rPr>
        <w:t>综上所述，该指标分值2分，根据评分标准得</w:t>
      </w:r>
      <w:r>
        <w:rPr>
          <w:rFonts w:hint="eastAsia"/>
          <w:lang w:val="en-US" w:eastAsia="zh-CN"/>
        </w:rPr>
        <w:t>2</w:t>
      </w:r>
      <w:r>
        <w:rPr>
          <w:rFonts w:hint="eastAsia"/>
        </w:rPr>
        <w:t>分，得分率</w:t>
      </w:r>
      <w:r>
        <w:rPr>
          <w:rFonts w:hint="eastAsia"/>
          <w:lang w:val="en-US" w:eastAsia="zh-CN"/>
        </w:rPr>
        <w:t>100</w:t>
      </w:r>
      <w:r>
        <w:rPr>
          <w:rFonts w:hint="eastAsia"/>
        </w:rPr>
        <w:t>%。</w:t>
      </w:r>
    </w:p>
    <w:p>
      <w:pPr>
        <w:pStyle w:val="31"/>
        <w:spacing w:before="0" w:after="0"/>
        <w:ind w:firstLine="643"/>
        <w:rPr>
          <w:rFonts w:hint="eastAsia"/>
          <w:b/>
          <w:bCs w:val="0"/>
        </w:rPr>
      </w:pPr>
      <w:bookmarkStart w:id="11" w:name="_Toc172283519"/>
      <w:r>
        <w:rPr>
          <w:rFonts w:hint="eastAsia"/>
          <w:b/>
          <w:bCs w:val="0"/>
        </w:rPr>
        <w:t>（三）项目产出情况</w:t>
      </w:r>
      <w:bookmarkEnd w:id="11"/>
    </w:p>
    <w:p>
      <w:pPr>
        <w:pStyle w:val="26"/>
        <w:ind w:firstLine="640"/>
        <w:rPr>
          <w:highlight w:val="none"/>
        </w:rPr>
      </w:pPr>
      <w:r>
        <w:rPr>
          <w:rFonts w:hint="eastAsia"/>
          <w:highlight w:val="none"/>
        </w:rPr>
        <w:t>产出指标主要包括产出数量、产出质量、产出时效、产出成本</w:t>
      </w:r>
      <w:r>
        <w:rPr>
          <w:highlight w:val="none"/>
        </w:rPr>
        <w:t>4</w:t>
      </w:r>
      <w:r>
        <w:rPr>
          <w:rFonts w:hint="eastAsia"/>
          <w:highlight w:val="none"/>
        </w:rPr>
        <w:t>项</w:t>
      </w:r>
      <w:r>
        <w:rPr>
          <w:highlight w:val="none"/>
        </w:rPr>
        <w:t>二级指标，</w:t>
      </w:r>
      <w:r>
        <w:rPr>
          <w:rFonts w:hint="eastAsia"/>
          <w:highlight w:val="none"/>
          <w:lang w:val="en-US" w:eastAsia="zh-CN"/>
        </w:rPr>
        <w:t>9</w:t>
      </w:r>
      <w:r>
        <w:rPr>
          <w:highlight w:val="none"/>
        </w:rPr>
        <w:t>项三级指标，基础总分</w:t>
      </w:r>
      <w:r>
        <w:rPr>
          <w:rFonts w:hint="eastAsia"/>
          <w:highlight w:val="none"/>
        </w:rPr>
        <w:t>40</w:t>
      </w:r>
      <w:r>
        <w:rPr>
          <w:highlight w:val="none"/>
        </w:rPr>
        <w:t>分，合计得分</w:t>
      </w:r>
      <w:r>
        <w:rPr>
          <w:rFonts w:hint="eastAsia"/>
          <w:highlight w:val="none"/>
        </w:rPr>
        <w:t>3</w:t>
      </w:r>
      <w:r>
        <w:rPr>
          <w:rFonts w:hint="eastAsia"/>
          <w:highlight w:val="none"/>
          <w:lang w:val="en-US" w:eastAsia="zh-CN"/>
        </w:rPr>
        <w:t>1</w:t>
      </w:r>
      <w:r>
        <w:rPr>
          <w:highlight w:val="none"/>
        </w:rPr>
        <w:t>分。</w:t>
      </w:r>
    </w:p>
    <w:p>
      <w:pPr>
        <w:pStyle w:val="26"/>
        <w:ind w:firstLine="640"/>
      </w:pPr>
      <w:r>
        <w:t>1.产出数量</w:t>
      </w:r>
    </w:p>
    <w:p>
      <w:pPr>
        <w:pStyle w:val="26"/>
        <w:ind w:firstLine="640"/>
        <w:rPr>
          <w:rFonts w:hint="eastAsia"/>
        </w:rPr>
      </w:pPr>
      <w:r>
        <w:rPr>
          <w:rFonts w:hint="eastAsia"/>
        </w:rPr>
        <w:t>（</w:t>
      </w:r>
      <w:r>
        <w:t>1）</w:t>
      </w:r>
      <w:r>
        <w:rPr>
          <w:rFonts w:hint="eastAsia"/>
        </w:rPr>
        <w:t>山洪灾害防治非工程措施</w:t>
      </w:r>
      <w:r>
        <w:rPr>
          <w:rFonts w:hint="eastAsia"/>
          <w:lang w:val="en-US" w:eastAsia="zh-CN"/>
        </w:rPr>
        <w:t>完成</w:t>
      </w:r>
      <w:r>
        <w:rPr>
          <w:rFonts w:hint="eastAsia"/>
        </w:rPr>
        <w:t>率</w:t>
      </w:r>
      <w:r>
        <w:t>（总分</w:t>
      </w:r>
      <w:r>
        <w:rPr>
          <w:rFonts w:hint="eastAsia"/>
          <w:lang w:val="en-US" w:eastAsia="zh-CN"/>
        </w:rPr>
        <w:t>3</w:t>
      </w:r>
      <w:r>
        <w:t>分，得分</w:t>
      </w:r>
      <w:r>
        <w:rPr>
          <w:rFonts w:hint="eastAsia"/>
          <w:lang w:val="en-US" w:eastAsia="zh-CN"/>
        </w:rPr>
        <w:t>3</w:t>
      </w:r>
      <w:r>
        <w:t>分）。</w:t>
      </w:r>
      <w:r>
        <w:rPr>
          <w:rFonts w:hint="eastAsia"/>
        </w:rPr>
        <w:t>根据</w:t>
      </w:r>
      <w:r>
        <w:rPr>
          <w:rFonts w:hint="eastAsia"/>
          <w:szCs w:val="32"/>
          <w:lang w:eastAsia="zh-CN"/>
        </w:rPr>
        <w:t>相关</w:t>
      </w:r>
      <w:r>
        <w:rPr>
          <w:rFonts w:hint="eastAsia"/>
        </w:rPr>
        <w:t>实施方案，202</w:t>
      </w:r>
      <w:r>
        <w:rPr>
          <w:rFonts w:hint="eastAsia"/>
          <w:lang w:val="en-US" w:eastAsia="zh-CN"/>
        </w:rPr>
        <w:t>4</w:t>
      </w:r>
      <w:r>
        <w:rPr>
          <w:rFonts w:hint="eastAsia"/>
        </w:rPr>
        <w:t>年</w:t>
      </w:r>
      <w:r>
        <w:rPr>
          <w:rFonts w:hint="eastAsia"/>
          <w:lang w:val="en-US" w:eastAsia="zh-CN"/>
        </w:rPr>
        <w:t>应建立山洪灾害防治责任制体系，编制县乡村三级预案，补充新建雨水情监测站点（站点优化）7个，更新4G监测站（迁移）2个，增设卫星通信信道2个</w:t>
      </w:r>
      <w:r>
        <w:rPr>
          <w:rFonts w:hint="eastAsia"/>
        </w:rPr>
        <w:t>。根据</w:t>
      </w:r>
      <w:r>
        <w:rPr>
          <w:rFonts w:hint="eastAsia"/>
          <w:lang w:val="en-US" w:eastAsia="zh-CN"/>
        </w:rPr>
        <w:t>项目验收报告及结算审核报告显示</w:t>
      </w:r>
      <w:r>
        <w:rPr>
          <w:rFonts w:hint="eastAsia"/>
        </w:rPr>
        <w:t>，202</w:t>
      </w:r>
      <w:r>
        <w:rPr>
          <w:rFonts w:hint="eastAsia"/>
          <w:lang w:val="en-US" w:eastAsia="zh-CN"/>
        </w:rPr>
        <w:t>4</w:t>
      </w:r>
      <w:r>
        <w:rPr>
          <w:rFonts w:hint="eastAsia"/>
        </w:rPr>
        <w:t>年</w:t>
      </w:r>
      <w:r>
        <w:rPr>
          <w:rFonts w:hint="eastAsia"/>
          <w:lang w:val="en-US" w:eastAsia="zh-CN"/>
        </w:rPr>
        <w:t>上述工作均已完成，</w:t>
      </w:r>
      <w:r>
        <w:rPr>
          <w:rFonts w:hint="eastAsia"/>
        </w:rPr>
        <w:t>山洪灾害防治非工程措施</w:t>
      </w:r>
      <w:r>
        <w:rPr>
          <w:rFonts w:hint="eastAsia"/>
          <w:lang w:val="en-US" w:eastAsia="zh-CN"/>
        </w:rPr>
        <w:t>完成率</w:t>
      </w:r>
      <w:r>
        <w:rPr>
          <w:rFonts w:hint="eastAsia"/>
        </w:rPr>
        <w:t>为100%。综上所述，该指标分值</w:t>
      </w:r>
      <w:r>
        <w:rPr>
          <w:rFonts w:hint="eastAsia"/>
          <w:lang w:val="en-US" w:eastAsia="zh-CN"/>
        </w:rPr>
        <w:t>3</w:t>
      </w:r>
      <w:r>
        <w:rPr>
          <w:rFonts w:hint="eastAsia"/>
        </w:rPr>
        <w:t>分，根据评分标准得</w:t>
      </w:r>
      <w:r>
        <w:rPr>
          <w:rFonts w:hint="eastAsia"/>
          <w:lang w:val="en-US" w:eastAsia="zh-CN"/>
        </w:rPr>
        <w:t>3</w:t>
      </w:r>
      <w:r>
        <w:rPr>
          <w:rFonts w:hint="eastAsia"/>
        </w:rPr>
        <w:t>分，得分率100%。</w:t>
      </w:r>
    </w:p>
    <w:p>
      <w:pPr>
        <w:pStyle w:val="26"/>
        <w:ind w:firstLine="640"/>
        <w:rPr>
          <w:rFonts w:hint="eastAsia"/>
        </w:rPr>
      </w:pPr>
      <w:r>
        <w:rPr>
          <w:rFonts w:hint="eastAsia"/>
          <w:lang w:eastAsia="zh-CN"/>
        </w:rPr>
        <w:t>（</w:t>
      </w:r>
      <w:r>
        <w:rPr>
          <w:rFonts w:hint="eastAsia"/>
          <w:lang w:val="en-US" w:eastAsia="zh-CN"/>
        </w:rPr>
        <w:t>2</w:t>
      </w:r>
      <w:r>
        <w:rPr>
          <w:rFonts w:hint="eastAsia"/>
          <w:lang w:eastAsia="zh-CN"/>
        </w:rPr>
        <w:t>）农村饮用水工程维修养护</w:t>
      </w:r>
      <w:r>
        <w:rPr>
          <w:rFonts w:hint="eastAsia"/>
          <w:lang w:val="en-US" w:eastAsia="zh-CN"/>
        </w:rPr>
        <w:t>完成率</w:t>
      </w:r>
      <w:r>
        <w:t>（总分</w:t>
      </w:r>
      <w:r>
        <w:rPr>
          <w:rFonts w:hint="eastAsia"/>
          <w:lang w:val="en-US" w:eastAsia="zh-CN"/>
        </w:rPr>
        <w:t>3</w:t>
      </w:r>
      <w:r>
        <w:t>分，得分</w:t>
      </w:r>
      <w:r>
        <w:rPr>
          <w:rFonts w:hint="eastAsia"/>
          <w:lang w:val="en-US" w:eastAsia="zh-CN"/>
        </w:rPr>
        <w:t>3</w:t>
      </w:r>
      <w:r>
        <w:t>分）</w:t>
      </w:r>
      <w:r>
        <w:rPr>
          <w:rFonts w:hint="eastAsia"/>
          <w:lang w:eastAsia="zh-CN"/>
        </w:rPr>
        <w:t>。</w:t>
      </w:r>
      <w:r>
        <w:rPr>
          <w:rFonts w:hint="eastAsia"/>
        </w:rPr>
        <w:t>根据</w:t>
      </w:r>
      <w:r>
        <w:rPr>
          <w:rFonts w:hint="eastAsia"/>
          <w:szCs w:val="32"/>
          <w:lang w:eastAsia="zh-CN"/>
        </w:rPr>
        <w:t>相关</w:t>
      </w:r>
      <w:r>
        <w:rPr>
          <w:rFonts w:hint="eastAsia"/>
        </w:rPr>
        <w:t>实施方案，202</w:t>
      </w:r>
      <w:r>
        <w:rPr>
          <w:rFonts w:hint="eastAsia"/>
          <w:lang w:val="en-US" w:eastAsia="zh-CN"/>
        </w:rPr>
        <w:t>4</w:t>
      </w:r>
      <w:r>
        <w:rPr>
          <w:rFonts w:hint="eastAsia"/>
        </w:rPr>
        <w:t>年</w:t>
      </w:r>
      <w:r>
        <w:rPr>
          <w:rFonts w:hint="eastAsia"/>
          <w:lang w:val="en-US" w:eastAsia="zh-CN"/>
        </w:rPr>
        <w:t>应完成两项内容，一是农村供水维修养护，包括大泉湾水厂更新新机井1眼(井深100m),安装潜水泵1套，配套输电线、55KVA变压器1套，启动柜等设施，新建机井房1座，维修1号供水井水泵、配电、管道等设施设备，改建户表井 11座、闸阀井2座。西郊水厂改建闸阀井2座，维修更换井盖 21座。骆驼圈子水厂改建户表井3座，更换井盖51座</w:t>
      </w:r>
      <w:r>
        <w:rPr>
          <w:rFonts w:hint="eastAsia"/>
        </w:rPr>
        <w:t>。</w:t>
      </w:r>
      <w:r>
        <w:rPr>
          <w:rFonts w:hint="eastAsia"/>
          <w:lang w:val="en-US" w:eastAsia="zh-CN"/>
        </w:rPr>
        <w:t>二是沁城乡小堡村饮水工程，为小堡村安装家用净水器 200 套。</w:t>
      </w:r>
      <w:r>
        <w:rPr>
          <w:rFonts w:hint="eastAsia"/>
        </w:rPr>
        <w:t>根据</w:t>
      </w:r>
      <w:r>
        <w:rPr>
          <w:rFonts w:hint="eastAsia"/>
          <w:lang w:val="en-US" w:eastAsia="zh-CN"/>
        </w:rPr>
        <w:t>项目验收报告及工程结算审核报告显示</w:t>
      </w:r>
      <w:r>
        <w:rPr>
          <w:rFonts w:hint="eastAsia"/>
        </w:rPr>
        <w:t>，202</w:t>
      </w:r>
      <w:r>
        <w:rPr>
          <w:rFonts w:hint="eastAsia"/>
          <w:lang w:val="en-US" w:eastAsia="zh-CN"/>
        </w:rPr>
        <w:t>4</w:t>
      </w:r>
      <w:r>
        <w:rPr>
          <w:rFonts w:hint="eastAsia"/>
        </w:rPr>
        <w:t>年</w:t>
      </w:r>
      <w:r>
        <w:rPr>
          <w:rFonts w:hint="eastAsia"/>
          <w:lang w:val="en-US" w:eastAsia="zh-CN"/>
        </w:rPr>
        <w:t>上述工作均已完成，</w:t>
      </w:r>
      <w:r>
        <w:rPr>
          <w:rFonts w:hint="eastAsia"/>
          <w:lang w:eastAsia="zh-CN"/>
        </w:rPr>
        <w:t>农村饮用水工程维修养护</w:t>
      </w:r>
      <w:r>
        <w:rPr>
          <w:rFonts w:hint="eastAsia"/>
          <w:lang w:val="en-US" w:eastAsia="zh-CN"/>
        </w:rPr>
        <w:t>完成率</w:t>
      </w:r>
      <w:r>
        <w:rPr>
          <w:rFonts w:hint="eastAsia"/>
        </w:rPr>
        <w:t>为100%。综上所述，该指标分值</w:t>
      </w:r>
      <w:r>
        <w:rPr>
          <w:rFonts w:hint="eastAsia"/>
          <w:lang w:val="en-US" w:eastAsia="zh-CN"/>
        </w:rPr>
        <w:t>3</w:t>
      </w:r>
      <w:r>
        <w:rPr>
          <w:rFonts w:hint="eastAsia"/>
        </w:rPr>
        <w:t>分，根据评分标准得</w:t>
      </w:r>
      <w:r>
        <w:rPr>
          <w:rFonts w:hint="eastAsia"/>
          <w:lang w:val="en-US" w:eastAsia="zh-CN"/>
        </w:rPr>
        <w:t>3</w:t>
      </w:r>
      <w:r>
        <w:rPr>
          <w:rFonts w:hint="eastAsia"/>
        </w:rPr>
        <w:t>分，得分率100%。</w:t>
      </w:r>
    </w:p>
    <w:p>
      <w:pPr>
        <w:pStyle w:val="26"/>
        <w:ind w:firstLine="640"/>
        <w:rPr>
          <w:rFonts w:hint="eastAsia"/>
        </w:rPr>
      </w:pPr>
      <w:r>
        <w:rPr>
          <w:rFonts w:hint="eastAsia"/>
          <w:lang w:eastAsia="zh-CN"/>
        </w:rPr>
        <w:t>（</w:t>
      </w:r>
      <w:r>
        <w:rPr>
          <w:rFonts w:hint="eastAsia"/>
          <w:lang w:val="en-US" w:eastAsia="zh-CN"/>
        </w:rPr>
        <w:t>3</w:t>
      </w:r>
      <w:r>
        <w:rPr>
          <w:rFonts w:hint="eastAsia"/>
          <w:lang w:eastAsia="zh-CN"/>
        </w:rPr>
        <w:t>）小型水库维修养护</w:t>
      </w:r>
      <w:r>
        <w:rPr>
          <w:rFonts w:hint="eastAsia"/>
          <w:lang w:val="en-US" w:eastAsia="zh-CN"/>
        </w:rPr>
        <w:t>完成率</w:t>
      </w:r>
      <w:r>
        <w:t>（总分</w:t>
      </w:r>
      <w:r>
        <w:rPr>
          <w:rFonts w:hint="eastAsia"/>
          <w:lang w:val="en-US" w:eastAsia="zh-CN"/>
        </w:rPr>
        <w:t>3</w:t>
      </w:r>
      <w:r>
        <w:t>分，得分</w:t>
      </w:r>
      <w:r>
        <w:rPr>
          <w:rFonts w:hint="eastAsia"/>
          <w:lang w:val="en-US" w:eastAsia="zh-CN"/>
        </w:rPr>
        <w:t>3</w:t>
      </w:r>
      <w:r>
        <w:t>分）</w:t>
      </w:r>
      <w:r>
        <w:rPr>
          <w:rFonts w:hint="eastAsia"/>
          <w:lang w:eastAsia="zh-CN"/>
        </w:rPr>
        <w:t>。</w:t>
      </w:r>
      <w:r>
        <w:rPr>
          <w:rFonts w:hint="eastAsia"/>
        </w:rPr>
        <w:t>根据</w:t>
      </w:r>
      <w:r>
        <w:rPr>
          <w:rFonts w:hint="eastAsia"/>
          <w:szCs w:val="32"/>
          <w:lang w:eastAsia="zh-CN"/>
        </w:rPr>
        <w:t>相关</w:t>
      </w:r>
      <w:r>
        <w:rPr>
          <w:rFonts w:hint="eastAsia"/>
        </w:rPr>
        <w:t>实施方案，202</w:t>
      </w:r>
      <w:r>
        <w:rPr>
          <w:rFonts w:hint="eastAsia"/>
          <w:lang w:val="en-US" w:eastAsia="zh-CN"/>
        </w:rPr>
        <w:t>4</w:t>
      </w:r>
      <w:r>
        <w:rPr>
          <w:rFonts w:hint="eastAsia"/>
        </w:rPr>
        <w:t>年</w:t>
      </w:r>
      <w:r>
        <w:rPr>
          <w:rFonts w:hint="eastAsia"/>
          <w:lang w:val="en-US" w:eastAsia="zh-CN"/>
        </w:rPr>
        <w:t>应完成对乌拉台水库等16座小型水库进行维修养护，对乌拉台水库等16座小型水库94km防洪堤进行白蚁等害堤动物防治。</w:t>
      </w:r>
      <w:r>
        <w:rPr>
          <w:rFonts w:hint="eastAsia"/>
        </w:rPr>
        <w:t>根据</w:t>
      </w:r>
      <w:r>
        <w:rPr>
          <w:rFonts w:hint="eastAsia"/>
          <w:lang w:val="en-US" w:eastAsia="zh-CN"/>
        </w:rPr>
        <w:t>项目验收报告及工程结算审核报告显示</w:t>
      </w:r>
      <w:r>
        <w:rPr>
          <w:rFonts w:hint="eastAsia"/>
        </w:rPr>
        <w:t>，202</w:t>
      </w:r>
      <w:r>
        <w:rPr>
          <w:rFonts w:hint="eastAsia"/>
          <w:lang w:val="en-US" w:eastAsia="zh-CN"/>
        </w:rPr>
        <w:t>4</w:t>
      </w:r>
      <w:r>
        <w:rPr>
          <w:rFonts w:hint="eastAsia"/>
        </w:rPr>
        <w:t>年</w:t>
      </w:r>
      <w:r>
        <w:rPr>
          <w:rFonts w:hint="eastAsia"/>
          <w:lang w:val="en-US" w:eastAsia="zh-CN"/>
        </w:rPr>
        <w:t>上述工作均已完成，</w:t>
      </w:r>
      <w:r>
        <w:rPr>
          <w:rFonts w:hint="eastAsia"/>
          <w:lang w:eastAsia="zh-CN"/>
        </w:rPr>
        <w:t>小型水库维修养护</w:t>
      </w:r>
      <w:r>
        <w:rPr>
          <w:rFonts w:hint="eastAsia"/>
          <w:lang w:val="en-US" w:eastAsia="zh-CN"/>
        </w:rPr>
        <w:t>完成率</w:t>
      </w:r>
      <w:r>
        <w:rPr>
          <w:rFonts w:hint="eastAsia"/>
        </w:rPr>
        <w:t>为100%。综上所述，该指标分值</w:t>
      </w:r>
      <w:r>
        <w:rPr>
          <w:rFonts w:hint="eastAsia"/>
          <w:lang w:val="en-US" w:eastAsia="zh-CN"/>
        </w:rPr>
        <w:t>3</w:t>
      </w:r>
      <w:r>
        <w:rPr>
          <w:rFonts w:hint="eastAsia"/>
        </w:rPr>
        <w:t>分，根据评分标准得</w:t>
      </w:r>
      <w:r>
        <w:rPr>
          <w:rFonts w:hint="eastAsia"/>
          <w:lang w:val="en-US" w:eastAsia="zh-CN"/>
        </w:rPr>
        <w:t>3</w:t>
      </w:r>
      <w:r>
        <w:rPr>
          <w:rFonts w:hint="eastAsia"/>
        </w:rPr>
        <w:t>分，得分率100%。</w:t>
      </w:r>
    </w:p>
    <w:p>
      <w:pPr>
        <w:pStyle w:val="26"/>
        <w:ind w:firstLine="640"/>
        <w:rPr>
          <w:rFonts w:hint="eastAsia"/>
        </w:rPr>
      </w:pPr>
      <w:r>
        <w:rPr>
          <w:rFonts w:hint="eastAsia"/>
          <w:lang w:eastAsia="zh-CN"/>
        </w:rPr>
        <w:t>（</w:t>
      </w:r>
      <w:r>
        <w:rPr>
          <w:rFonts w:hint="eastAsia"/>
          <w:lang w:val="en-US" w:eastAsia="zh-CN"/>
        </w:rPr>
        <w:t>4</w:t>
      </w:r>
      <w:r>
        <w:rPr>
          <w:rFonts w:hint="eastAsia"/>
          <w:lang w:eastAsia="zh-CN"/>
        </w:rPr>
        <w:t>）农业水价综合改革维修养护</w:t>
      </w:r>
      <w:r>
        <w:rPr>
          <w:rFonts w:hint="eastAsia"/>
          <w:lang w:val="en-US" w:eastAsia="zh-CN"/>
        </w:rPr>
        <w:t>完成率</w:t>
      </w:r>
      <w:r>
        <w:t>（总分</w:t>
      </w:r>
      <w:r>
        <w:rPr>
          <w:rFonts w:hint="eastAsia"/>
          <w:lang w:val="en-US" w:eastAsia="zh-CN"/>
        </w:rPr>
        <w:t>3</w:t>
      </w:r>
      <w:r>
        <w:t>分，得分</w:t>
      </w:r>
      <w:r>
        <w:rPr>
          <w:rFonts w:hint="eastAsia"/>
          <w:lang w:val="en-US" w:eastAsia="zh-CN"/>
        </w:rPr>
        <w:t>3</w:t>
      </w:r>
      <w:r>
        <w:t>分）</w:t>
      </w:r>
      <w:r>
        <w:rPr>
          <w:rFonts w:hint="eastAsia"/>
          <w:lang w:eastAsia="zh-CN"/>
        </w:rPr>
        <w:t>。</w:t>
      </w:r>
      <w:r>
        <w:rPr>
          <w:rFonts w:hint="eastAsia"/>
        </w:rPr>
        <w:t>根据</w:t>
      </w:r>
      <w:r>
        <w:rPr>
          <w:rFonts w:hint="eastAsia"/>
          <w:szCs w:val="32"/>
          <w:lang w:eastAsia="zh-CN"/>
        </w:rPr>
        <w:t>相关</w:t>
      </w:r>
      <w:r>
        <w:rPr>
          <w:rFonts w:hint="eastAsia"/>
        </w:rPr>
        <w:t>实施方案，202</w:t>
      </w:r>
      <w:r>
        <w:rPr>
          <w:rFonts w:hint="eastAsia"/>
          <w:lang w:val="en-US" w:eastAsia="zh-CN"/>
        </w:rPr>
        <w:t>4</w:t>
      </w:r>
      <w:r>
        <w:rPr>
          <w:rFonts w:hint="eastAsia"/>
        </w:rPr>
        <w:t>年</w:t>
      </w:r>
      <w:r>
        <w:rPr>
          <w:rFonts w:hint="eastAsia"/>
          <w:lang w:val="en-US" w:eastAsia="zh-CN"/>
        </w:rPr>
        <w:t>应完成对石城子灌区、都鲁克灌区和沁城灌区渠首、骨干渠道、计量设施等农业水价综合改革内容进行维修养护，具体包括石城子渠灌区，维修石城子渠首管理站计量设施1处、开展计量设施率定10座，拆除量水堰修复渠道1处，维修灌区闸门55座，维修西千渠 2km、冲砂闸1座，石城子渠首清淤等。沁城灌区修订计量设施15座，维修渠道1.5km，维修灌区闸门55座，维修大、小天生圈渠首闸门，维修西路村分水闸1座。都鲁克灌区维修灌区闸门30座，维修白杨沟渠首闸门及启闭机，沉砂池清淤2座等。</w:t>
      </w:r>
      <w:r>
        <w:rPr>
          <w:rFonts w:hint="eastAsia"/>
        </w:rPr>
        <w:t>根据</w:t>
      </w:r>
      <w:r>
        <w:rPr>
          <w:rFonts w:hint="eastAsia"/>
          <w:lang w:val="en-US" w:eastAsia="zh-CN"/>
        </w:rPr>
        <w:t>项目验收报告及合同完工验收鉴定书显示</w:t>
      </w:r>
      <w:r>
        <w:rPr>
          <w:rFonts w:hint="eastAsia"/>
        </w:rPr>
        <w:t>，202</w:t>
      </w:r>
      <w:r>
        <w:rPr>
          <w:rFonts w:hint="eastAsia"/>
          <w:lang w:val="en-US" w:eastAsia="zh-CN"/>
        </w:rPr>
        <w:t>4</w:t>
      </w:r>
      <w:r>
        <w:rPr>
          <w:rFonts w:hint="eastAsia"/>
        </w:rPr>
        <w:t>年</w:t>
      </w:r>
      <w:r>
        <w:rPr>
          <w:rFonts w:hint="eastAsia"/>
          <w:lang w:val="en-US" w:eastAsia="zh-CN"/>
        </w:rPr>
        <w:t>上述工作均已完成，</w:t>
      </w:r>
      <w:r>
        <w:rPr>
          <w:rFonts w:hint="eastAsia"/>
          <w:lang w:eastAsia="zh-CN"/>
        </w:rPr>
        <w:t>农业水价综合改革维修养护</w:t>
      </w:r>
      <w:r>
        <w:rPr>
          <w:rFonts w:hint="eastAsia"/>
          <w:lang w:val="en-US" w:eastAsia="zh-CN"/>
        </w:rPr>
        <w:t>完成率</w:t>
      </w:r>
      <w:r>
        <w:rPr>
          <w:rFonts w:hint="eastAsia"/>
        </w:rPr>
        <w:t>为100%。综上所述，该指标分值</w:t>
      </w:r>
      <w:r>
        <w:rPr>
          <w:rFonts w:hint="eastAsia"/>
          <w:lang w:val="en-US" w:eastAsia="zh-CN"/>
        </w:rPr>
        <w:t>3</w:t>
      </w:r>
      <w:r>
        <w:rPr>
          <w:rFonts w:hint="eastAsia"/>
        </w:rPr>
        <w:t>分，根据评分标准得</w:t>
      </w:r>
      <w:r>
        <w:rPr>
          <w:rFonts w:hint="eastAsia"/>
          <w:lang w:val="en-US" w:eastAsia="zh-CN"/>
        </w:rPr>
        <w:t>3</w:t>
      </w:r>
      <w:r>
        <w:rPr>
          <w:rFonts w:hint="eastAsia"/>
        </w:rPr>
        <w:t>分，得分率100%。</w:t>
      </w:r>
    </w:p>
    <w:p>
      <w:pPr>
        <w:pStyle w:val="26"/>
        <w:ind w:firstLine="640"/>
        <w:rPr>
          <w:rFonts w:hint="eastAsia"/>
        </w:rPr>
      </w:pPr>
      <w:r>
        <w:rPr>
          <w:rFonts w:hint="eastAsia"/>
          <w:lang w:eastAsia="zh-CN"/>
        </w:rPr>
        <w:t>（</w:t>
      </w:r>
      <w:r>
        <w:rPr>
          <w:rFonts w:hint="eastAsia"/>
          <w:lang w:val="en-US" w:eastAsia="zh-CN"/>
        </w:rPr>
        <w:t>5</w:t>
      </w:r>
      <w:r>
        <w:rPr>
          <w:rFonts w:hint="eastAsia"/>
          <w:lang w:eastAsia="zh-CN"/>
        </w:rPr>
        <w:t>）地下水超采治理地表水置换地下水工程</w:t>
      </w:r>
      <w:r>
        <w:rPr>
          <w:rFonts w:hint="eastAsia"/>
          <w:lang w:val="en-US" w:eastAsia="zh-CN"/>
        </w:rPr>
        <w:t>完成率</w:t>
      </w:r>
      <w:r>
        <w:t>（总分</w:t>
      </w:r>
      <w:r>
        <w:rPr>
          <w:rFonts w:hint="eastAsia"/>
          <w:lang w:val="en-US" w:eastAsia="zh-CN"/>
        </w:rPr>
        <w:t>3</w:t>
      </w:r>
      <w:r>
        <w:t>分，得分</w:t>
      </w:r>
      <w:r>
        <w:rPr>
          <w:rFonts w:hint="eastAsia"/>
          <w:lang w:val="en-US" w:eastAsia="zh-CN"/>
        </w:rPr>
        <w:t>3</w:t>
      </w:r>
      <w:r>
        <w:t>分）</w:t>
      </w:r>
      <w:r>
        <w:rPr>
          <w:rFonts w:hint="eastAsia"/>
          <w:lang w:eastAsia="zh-CN"/>
        </w:rPr>
        <w:t>。</w:t>
      </w:r>
      <w:r>
        <w:rPr>
          <w:rFonts w:hint="eastAsia"/>
        </w:rPr>
        <w:t>根据</w:t>
      </w:r>
      <w:r>
        <w:rPr>
          <w:rFonts w:hint="eastAsia"/>
          <w:szCs w:val="32"/>
          <w:lang w:eastAsia="zh-CN"/>
        </w:rPr>
        <w:t>相关</w:t>
      </w:r>
      <w:r>
        <w:t>文件</w:t>
      </w:r>
      <w:r>
        <w:rPr>
          <w:rFonts w:hint="eastAsia"/>
        </w:rPr>
        <w:t>，202</w:t>
      </w:r>
      <w:r>
        <w:rPr>
          <w:rFonts w:hint="eastAsia"/>
          <w:lang w:val="en-US" w:eastAsia="zh-CN"/>
        </w:rPr>
        <w:t>4</w:t>
      </w:r>
      <w:r>
        <w:rPr>
          <w:rFonts w:hint="eastAsia"/>
        </w:rPr>
        <w:t>年</w:t>
      </w:r>
      <w:r>
        <w:rPr>
          <w:rFonts w:hint="eastAsia"/>
          <w:lang w:val="en-US" w:eastAsia="zh-CN"/>
        </w:rPr>
        <w:t>应在伊州区陶家官镇新建输水管道24.246公里及48座各类阀井等配套附属构筑物等。</w:t>
      </w:r>
      <w:r>
        <w:rPr>
          <w:rFonts w:hint="eastAsia"/>
        </w:rPr>
        <w:t>根据</w:t>
      </w:r>
      <w:r>
        <w:rPr>
          <w:rFonts w:hint="eastAsia"/>
          <w:lang w:val="en-US" w:eastAsia="zh-CN"/>
        </w:rPr>
        <w:t>项目验收报告显示</w:t>
      </w:r>
      <w:r>
        <w:rPr>
          <w:rFonts w:hint="eastAsia"/>
        </w:rPr>
        <w:t>，202</w:t>
      </w:r>
      <w:r>
        <w:rPr>
          <w:rFonts w:hint="eastAsia"/>
          <w:lang w:val="en-US" w:eastAsia="zh-CN"/>
        </w:rPr>
        <w:t>4</w:t>
      </w:r>
      <w:r>
        <w:rPr>
          <w:rFonts w:hint="eastAsia"/>
        </w:rPr>
        <w:t>年</w:t>
      </w:r>
      <w:r>
        <w:rPr>
          <w:rFonts w:hint="eastAsia"/>
          <w:lang w:val="en-US" w:eastAsia="zh-CN"/>
        </w:rPr>
        <w:t>上述工作均已完成，</w:t>
      </w:r>
      <w:r>
        <w:rPr>
          <w:rFonts w:hint="eastAsia"/>
          <w:lang w:eastAsia="zh-CN"/>
        </w:rPr>
        <w:t>地下水超采治理地表水置换地下水工程</w:t>
      </w:r>
      <w:r>
        <w:rPr>
          <w:rFonts w:hint="eastAsia"/>
          <w:lang w:val="en-US" w:eastAsia="zh-CN"/>
        </w:rPr>
        <w:t>完成率</w:t>
      </w:r>
      <w:r>
        <w:rPr>
          <w:rFonts w:hint="eastAsia"/>
        </w:rPr>
        <w:t>为100%。综上所述，该指标分值</w:t>
      </w:r>
      <w:r>
        <w:rPr>
          <w:rFonts w:hint="eastAsia"/>
          <w:lang w:val="en-US" w:eastAsia="zh-CN"/>
        </w:rPr>
        <w:t>3</w:t>
      </w:r>
      <w:r>
        <w:rPr>
          <w:rFonts w:hint="eastAsia"/>
        </w:rPr>
        <w:t>分，根据评分标准得</w:t>
      </w:r>
      <w:r>
        <w:rPr>
          <w:rFonts w:hint="eastAsia"/>
          <w:lang w:val="en-US" w:eastAsia="zh-CN"/>
        </w:rPr>
        <w:t>3</w:t>
      </w:r>
      <w:r>
        <w:rPr>
          <w:rFonts w:hint="eastAsia"/>
        </w:rPr>
        <w:t>分，得分率100%。</w:t>
      </w:r>
    </w:p>
    <w:p>
      <w:pPr>
        <w:pStyle w:val="26"/>
        <w:ind w:firstLine="640"/>
      </w:pPr>
      <w:r>
        <w:rPr>
          <w:rFonts w:hint="eastAsia"/>
          <w:lang w:val="en-US" w:eastAsia="zh-CN"/>
        </w:rPr>
        <w:t>2</w:t>
      </w:r>
      <w:r>
        <w:t>.产出</w:t>
      </w:r>
      <w:r>
        <w:rPr>
          <w:rFonts w:hint="eastAsia"/>
        </w:rPr>
        <w:t>质量</w:t>
      </w:r>
    </w:p>
    <w:p>
      <w:pPr>
        <w:pStyle w:val="26"/>
        <w:ind w:firstLine="640"/>
        <w:rPr>
          <w:highlight w:val="yellow"/>
        </w:rPr>
      </w:pPr>
      <w:r>
        <w:rPr>
          <w:rFonts w:hint="eastAsia"/>
        </w:rPr>
        <w:t>水利建设和维修养护工程竣工验收合格</w:t>
      </w:r>
      <w:r>
        <w:rPr>
          <w:rFonts w:hint="eastAsia"/>
          <w:lang w:val="en-US" w:eastAsia="zh-CN"/>
        </w:rPr>
        <w:t>率</w:t>
      </w:r>
      <w:r>
        <w:rPr>
          <w:rFonts w:hint="eastAsia"/>
        </w:rPr>
        <w:t>（总分</w:t>
      </w:r>
      <w:r>
        <w:rPr>
          <w:rFonts w:hint="eastAsia"/>
          <w:lang w:val="en-US" w:eastAsia="zh-CN"/>
        </w:rPr>
        <w:t>5</w:t>
      </w:r>
      <w:r>
        <w:rPr>
          <w:rFonts w:hint="eastAsia"/>
        </w:rPr>
        <w:t>分，得分</w:t>
      </w:r>
      <w:r>
        <w:rPr>
          <w:rFonts w:hint="eastAsia"/>
          <w:lang w:val="en-US" w:eastAsia="zh-CN"/>
        </w:rPr>
        <w:t>5</w:t>
      </w:r>
      <w:r>
        <w:rPr>
          <w:rFonts w:hint="eastAsia"/>
        </w:rPr>
        <w:t>分）。2024年中央水利发展资金</w:t>
      </w:r>
      <w:r>
        <w:rPr>
          <w:rFonts w:hint="eastAsia"/>
          <w:lang w:val="en-US" w:eastAsia="zh-CN"/>
        </w:rPr>
        <w:t>主要用于开展山洪灾害防治非工程措施、农村饮用水工程维修养护、小型水库维修养护、农业水价综合改革维修养护、地下水超采治理地表水置换地下水工程五项内容</w:t>
      </w:r>
      <w:r>
        <w:rPr>
          <w:rFonts w:hint="eastAsia"/>
        </w:rPr>
        <w:t>，</w:t>
      </w:r>
      <w:r>
        <w:rPr>
          <w:rFonts w:hint="eastAsia"/>
          <w:lang w:val="en-US" w:eastAsia="zh-CN"/>
        </w:rPr>
        <w:t>各</w:t>
      </w:r>
      <w:r>
        <w:rPr>
          <w:rFonts w:hint="eastAsia"/>
        </w:rPr>
        <w:t>项目</w:t>
      </w:r>
      <w:r>
        <w:rPr>
          <w:rFonts w:hint="eastAsia"/>
          <w:lang w:val="en-US" w:eastAsia="zh-CN"/>
        </w:rPr>
        <w:t>由实施</w:t>
      </w:r>
      <w:r>
        <w:rPr>
          <w:rFonts w:hint="eastAsia"/>
        </w:rPr>
        <w:t>单位、监理单位、施工单位</w:t>
      </w:r>
      <w:r>
        <w:rPr>
          <w:rFonts w:hint="eastAsia"/>
          <w:lang w:eastAsia="zh-CN"/>
        </w:rPr>
        <w:t>、质量和安全监督机构</w:t>
      </w:r>
      <w:r>
        <w:rPr>
          <w:rFonts w:hint="eastAsia"/>
        </w:rPr>
        <w:t>四方以及哈密市伊州</w:t>
      </w:r>
      <w:r>
        <w:rPr>
          <w:rFonts w:hint="eastAsia"/>
          <w:lang w:val="en-US" w:eastAsia="zh-CN"/>
        </w:rPr>
        <w:t>水利局</w:t>
      </w:r>
      <w:r>
        <w:rPr>
          <w:rFonts w:hint="eastAsia"/>
        </w:rPr>
        <w:t>共同开展项目竣工验收工作，经各方综合评定，项目工程整体质量达标，满足竣工验收要求，竣工验收报告及相应签章手续齐全。综上所述，该指标分值</w:t>
      </w:r>
      <w:r>
        <w:rPr>
          <w:rFonts w:hint="eastAsia"/>
          <w:lang w:val="en-US" w:eastAsia="zh-CN"/>
        </w:rPr>
        <w:t>5</w:t>
      </w:r>
      <w:r>
        <w:rPr>
          <w:rFonts w:hint="eastAsia"/>
        </w:rPr>
        <w:t>分，根据评分标准得</w:t>
      </w:r>
      <w:r>
        <w:rPr>
          <w:rFonts w:hint="eastAsia"/>
          <w:lang w:val="en-US" w:eastAsia="zh-CN"/>
        </w:rPr>
        <w:t>5</w:t>
      </w:r>
      <w:r>
        <w:rPr>
          <w:rFonts w:hint="eastAsia"/>
        </w:rPr>
        <w:t>分，得分率100%。</w:t>
      </w:r>
    </w:p>
    <w:p>
      <w:pPr>
        <w:pStyle w:val="26"/>
        <w:ind w:firstLine="640"/>
        <w:rPr>
          <w:highlight w:val="none"/>
        </w:rPr>
      </w:pPr>
      <w:r>
        <w:rPr>
          <w:highlight w:val="none"/>
        </w:rPr>
        <w:t>3.产出</w:t>
      </w:r>
      <w:r>
        <w:rPr>
          <w:rFonts w:hint="eastAsia"/>
          <w:highlight w:val="none"/>
        </w:rPr>
        <w:t>时效</w:t>
      </w:r>
    </w:p>
    <w:p>
      <w:pPr>
        <w:pStyle w:val="26"/>
        <w:ind w:firstLine="640"/>
        <w:rPr>
          <w:rFonts w:hint="eastAsia"/>
          <w:highlight w:val="none"/>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水利建设和维修养护工程</w:t>
      </w:r>
      <w:r>
        <w:rPr>
          <w:rFonts w:hint="eastAsia"/>
          <w:highlight w:val="none"/>
          <w:lang w:val="en-US" w:eastAsia="zh-CN"/>
        </w:rPr>
        <w:t>开工</w:t>
      </w:r>
      <w:r>
        <w:rPr>
          <w:rFonts w:hint="eastAsia"/>
          <w:highlight w:val="none"/>
        </w:rPr>
        <w:t>及时率</w:t>
      </w:r>
      <w:r>
        <w:rPr>
          <w:highlight w:val="none"/>
        </w:rPr>
        <w:t>（总分</w:t>
      </w:r>
      <w:r>
        <w:rPr>
          <w:rFonts w:hint="eastAsia"/>
          <w:highlight w:val="none"/>
          <w:lang w:val="en-US" w:eastAsia="zh-CN"/>
        </w:rPr>
        <w:t>7</w:t>
      </w:r>
      <w:r>
        <w:rPr>
          <w:highlight w:val="none"/>
        </w:rPr>
        <w:t>分，得分</w:t>
      </w:r>
      <w:r>
        <w:rPr>
          <w:rFonts w:hint="eastAsia"/>
          <w:highlight w:val="none"/>
        </w:rPr>
        <w:t>6</w:t>
      </w:r>
      <w:r>
        <w:rPr>
          <w:highlight w:val="none"/>
        </w:rPr>
        <w:t>分）。</w:t>
      </w:r>
      <w:r>
        <w:rPr>
          <w:rFonts w:hint="eastAsia"/>
          <w:highlight w:val="none"/>
        </w:rPr>
        <w:t>根据</w:t>
      </w:r>
      <w:r>
        <w:rPr>
          <w:rFonts w:hint="eastAsia"/>
          <w:highlight w:val="none"/>
          <w:lang w:val="en-US" w:eastAsia="zh-CN"/>
        </w:rPr>
        <w:t>哈密市水利局批复的各项目实施方案</w:t>
      </w:r>
      <w:r>
        <w:rPr>
          <w:rFonts w:hint="eastAsia"/>
          <w:highlight w:val="none"/>
        </w:rPr>
        <w:t>，</w:t>
      </w:r>
      <w:r>
        <w:rPr>
          <w:rFonts w:hint="eastAsia"/>
          <w:highlight w:val="none"/>
          <w:lang w:val="en-US" w:eastAsia="zh-CN"/>
        </w:rPr>
        <w:t>发改部门批复的初步设计及验收报告等资料显示，山洪灾害防治非工程措施规划开工时间为2024年3月20日</w:t>
      </w:r>
      <w:r>
        <w:rPr>
          <w:rFonts w:hint="eastAsia"/>
          <w:highlight w:val="none"/>
        </w:rPr>
        <w:t>，</w:t>
      </w:r>
      <w:r>
        <w:rPr>
          <w:rFonts w:hint="eastAsia"/>
          <w:highlight w:val="none"/>
          <w:lang w:val="en-US" w:eastAsia="zh-CN"/>
        </w:rPr>
        <w:t>实际开工时间为2024年3月20日。农村饮用水工程维修养护规划开工时间为2024年3月20日</w:t>
      </w:r>
      <w:r>
        <w:rPr>
          <w:rFonts w:hint="eastAsia"/>
          <w:highlight w:val="none"/>
        </w:rPr>
        <w:t>，</w:t>
      </w:r>
      <w:r>
        <w:rPr>
          <w:rFonts w:hint="eastAsia"/>
          <w:highlight w:val="none"/>
          <w:lang w:val="en-US" w:eastAsia="zh-CN"/>
        </w:rPr>
        <w:t>实际开工时间2024年6月1日。农业水价综合改革维修养护规划开工时间为2024年4月1日</w:t>
      </w:r>
      <w:r>
        <w:rPr>
          <w:rFonts w:hint="eastAsia"/>
          <w:highlight w:val="none"/>
        </w:rPr>
        <w:t>，</w:t>
      </w:r>
      <w:r>
        <w:rPr>
          <w:rFonts w:hint="eastAsia"/>
          <w:highlight w:val="none"/>
          <w:lang w:val="en-US" w:eastAsia="zh-CN"/>
        </w:rPr>
        <w:t>实际开工时间2024年5月10日。小型水库维修养护规划开工时间为2024年3月20日</w:t>
      </w:r>
      <w:r>
        <w:rPr>
          <w:rFonts w:hint="eastAsia"/>
          <w:highlight w:val="none"/>
        </w:rPr>
        <w:t>，</w:t>
      </w:r>
      <w:r>
        <w:rPr>
          <w:rFonts w:hint="eastAsia"/>
          <w:highlight w:val="none"/>
          <w:lang w:val="en-US" w:eastAsia="zh-CN"/>
        </w:rPr>
        <w:t>实际开工时间2024年4月25日。地下水超采治理地表水置换地下水工程计划工期为1年</w:t>
      </w:r>
      <w:r>
        <w:rPr>
          <w:rFonts w:hint="eastAsia"/>
          <w:highlight w:val="none"/>
        </w:rPr>
        <w:t>，</w:t>
      </w:r>
      <w:r>
        <w:rPr>
          <w:rFonts w:hint="eastAsia"/>
          <w:highlight w:val="none"/>
          <w:lang w:val="en-US" w:eastAsia="zh-CN"/>
        </w:rPr>
        <w:t>实际工期为1年，工期为2024年6月28日至2025年6月25日。农村饮用水工程维修养护等3个项目实际开工时间与规划不符，</w:t>
      </w:r>
      <w:r>
        <w:rPr>
          <w:rFonts w:hint="eastAsia"/>
          <w:highlight w:val="none"/>
        </w:rPr>
        <w:t>水利建设和维修养护工程</w:t>
      </w:r>
      <w:r>
        <w:rPr>
          <w:rFonts w:hint="eastAsia"/>
          <w:highlight w:val="none"/>
          <w:lang w:val="en-US" w:eastAsia="zh-CN"/>
        </w:rPr>
        <w:t>开工</w:t>
      </w:r>
      <w:r>
        <w:rPr>
          <w:rFonts w:hint="eastAsia"/>
          <w:highlight w:val="none"/>
        </w:rPr>
        <w:t>及时率</w:t>
      </w:r>
      <w:r>
        <w:rPr>
          <w:rFonts w:hint="eastAsia"/>
          <w:highlight w:val="none"/>
          <w:lang w:val="en-US" w:eastAsia="zh-CN"/>
        </w:rPr>
        <w:t>为40%</w:t>
      </w:r>
      <w:r>
        <w:rPr>
          <w:rFonts w:hint="eastAsia"/>
          <w:highlight w:val="none"/>
        </w:rPr>
        <w:t>。综上所述，该指标分值</w:t>
      </w:r>
      <w:r>
        <w:rPr>
          <w:rFonts w:hint="eastAsia"/>
          <w:highlight w:val="none"/>
          <w:lang w:val="en-US" w:eastAsia="zh-CN"/>
        </w:rPr>
        <w:t>7</w:t>
      </w:r>
      <w:r>
        <w:rPr>
          <w:rFonts w:hint="eastAsia"/>
          <w:highlight w:val="none"/>
        </w:rPr>
        <w:t>分，根据评分标准得</w:t>
      </w:r>
      <w:r>
        <w:rPr>
          <w:rFonts w:hint="eastAsia"/>
          <w:highlight w:val="none"/>
          <w:lang w:val="en-US" w:eastAsia="zh-CN"/>
        </w:rPr>
        <w:t>2.8</w:t>
      </w:r>
      <w:r>
        <w:rPr>
          <w:rFonts w:hint="eastAsia"/>
          <w:highlight w:val="none"/>
        </w:rPr>
        <w:t>分，得分率</w:t>
      </w:r>
      <w:r>
        <w:rPr>
          <w:rFonts w:hint="eastAsia"/>
          <w:highlight w:val="none"/>
          <w:lang w:val="en-US" w:eastAsia="zh-CN"/>
        </w:rPr>
        <w:t>40</w:t>
      </w:r>
      <w:r>
        <w:rPr>
          <w:rFonts w:hint="eastAsia"/>
          <w:highlight w:val="none"/>
        </w:rPr>
        <w:t>%。</w:t>
      </w:r>
    </w:p>
    <w:p>
      <w:pPr>
        <w:pStyle w:val="26"/>
        <w:ind w:firstLine="640"/>
        <w:rPr>
          <w:rFonts w:hint="eastAsia"/>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水利建设和维修养护工程</w:t>
      </w:r>
      <w:r>
        <w:rPr>
          <w:rFonts w:hint="eastAsia"/>
          <w:highlight w:val="none"/>
          <w:lang w:val="en-US" w:eastAsia="zh-CN"/>
        </w:rPr>
        <w:t>竣工</w:t>
      </w:r>
      <w:r>
        <w:rPr>
          <w:rFonts w:hint="eastAsia"/>
          <w:highlight w:val="none"/>
        </w:rPr>
        <w:t>及时率</w:t>
      </w:r>
      <w:r>
        <w:rPr>
          <w:highlight w:val="none"/>
        </w:rPr>
        <w:t>（总分</w:t>
      </w:r>
      <w:r>
        <w:rPr>
          <w:rFonts w:hint="eastAsia"/>
          <w:highlight w:val="none"/>
          <w:lang w:val="en-US" w:eastAsia="zh-CN"/>
        </w:rPr>
        <w:t>8</w:t>
      </w:r>
      <w:r>
        <w:rPr>
          <w:highlight w:val="none"/>
        </w:rPr>
        <w:t>分，得分</w:t>
      </w:r>
      <w:r>
        <w:rPr>
          <w:rFonts w:hint="eastAsia"/>
          <w:highlight w:val="none"/>
          <w:lang w:val="en-US" w:eastAsia="zh-CN"/>
        </w:rPr>
        <w:t>3.2</w:t>
      </w:r>
      <w:r>
        <w:rPr>
          <w:highlight w:val="none"/>
        </w:rPr>
        <w:t>分）。</w:t>
      </w:r>
      <w:r>
        <w:rPr>
          <w:rFonts w:hint="eastAsia"/>
          <w:highlight w:val="none"/>
        </w:rPr>
        <w:t>根据</w:t>
      </w:r>
      <w:r>
        <w:rPr>
          <w:rFonts w:hint="eastAsia"/>
          <w:highlight w:val="none"/>
          <w:lang w:val="en-US" w:eastAsia="zh-CN"/>
        </w:rPr>
        <w:t>哈密市水利局批复的各项目实施方案</w:t>
      </w:r>
      <w:r>
        <w:rPr>
          <w:rFonts w:hint="eastAsia"/>
          <w:highlight w:val="none"/>
        </w:rPr>
        <w:t>，</w:t>
      </w:r>
      <w:r>
        <w:rPr>
          <w:rFonts w:hint="eastAsia"/>
          <w:highlight w:val="none"/>
          <w:lang w:val="en-US" w:eastAsia="zh-CN"/>
        </w:rPr>
        <w:t>发改部门批复的初步设计及验收报告等资料显示，山洪灾害防治非工程措施规划完工日期为2024年5月30日</w:t>
      </w:r>
      <w:r>
        <w:rPr>
          <w:rFonts w:hint="eastAsia"/>
          <w:highlight w:val="none"/>
        </w:rPr>
        <w:t>，</w:t>
      </w:r>
      <w:r>
        <w:rPr>
          <w:rFonts w:hint="eastAsia"/>
          <w:highlight w:val="none"/>
          <w:lang w:val="en-US" w:eastAsia="zh-CN"/>
        </w:rPr>
        <w:t>实际完工日期为2024年7月10日。农村饮用水工程维修养护规划完工日期为2024年6月20日</w:t>
      </w:r>
      <w:r>
        <w:rPr>
          <w:rFonts w:hint="eastAsia"/>
          <w:highlight w:val="none"/>
        </w:rPr>
        <w:t>，</w:t>
      </w:r>
      <w:r>
        <w:rPr>
          <w:rFonts w:hint="eastAsia"/>
          <w:highlight w:val="none"/>
          <w:lang w:val="en-US" w:eastAsia="zh-CN"/>
        </w:rPr>
        <w:t>实际完工日期2024年7月30日。农业水价综合改革维修养护规划完工日期为2024年9月30日</w:t>
      </w:r>
      <w:r>
        <w:rPr>
          <w:rFonts w:hint="eastAsia"/>
          <w:highlight w:val="none"/>
        </w:rPr>
        <w:t>，</w:t>
      </w:r>
      <w:r>
        <w:rPr>
          <w:rFonts w:hint="eastAsia"/>
          <w:highlight w:val="none"/>
          <w:lang w:val="en-US" w:eastAsia="zh-CN"/>
        </w:rPr>
        <w:t>实际完工日期2024年9月27日。小型水库维修养护规划完工日期为2024年6月20日</w:t>
      </w:r>
      <w:r>
        <w:rPr>
          <w:rFonts w:hint="eastAsia"/>
          <w:highlight w:val="none"/>
        </w:rPr>
        <w:t>，</w:t>
      </w:r>
      <w:r>
        <w:rPr>
          <w:rFonts w:hint="eastAsia"/>
          <w:highlight w:val="none"/>
          <w:lang w:val="en-US" w:eastAsia="zh-CN"/>
        </w:rPr>
        <w:t>实际完工日期2024年8月9日。地下水超采治理地表水置换地下水工程完工日期为1年</w:t>
      </w:r>
      <w:r>
        <w:rPr>
          <w:rFonts w:hint="eastAsia"/>
          <w:highlight w:val="none"/>
        </w:rPr>
        <w:t>，</w:t>
      </w:r>
      <w:r>
        <w:rPr>
          <w:rFonts w:hint="eastAsia"/>
          <w:highlight w:val="none"/>
          <w:lang w:val="en-US" w:eastAsia="zh-CN"/>
        </w:rPr>
        <w:t>实际工期为1年，工期为2024年6月28日至2025年6月25日。山洪灾害防治非工程措施等3个项目实际完工时间滞后，</w:t>
      </w:r>
      <w:r>
        <w:rPr>
          <w:rFonts w:hint="eastAsia"/>
          <w:highlight w:val="none"/>
        </w:rPr>
        <w:t>水利建设和维修养护工程</w:t>
      </w:r>
      <w:r>
        <w:rPr>
          <w:rFonts w:hint="eastAsia"/>
          <w:highlight w:val="none"/>
          <w:lang w:val="en-US" w:eastAsia="zh-CN"/>
        </w:rPr>
        <w:t>竣工</w:t>
      </w:r>
      <w:r>
        <w:rPr>
          <w:rFonts w:hint="eastAsia"/>
          <w:highlight w:val="none"/>
        </w:rPr>
        <w:t>及时率</w:t>
      </w:r>
      <w:r>
        <w:rPr>
          <w:rFonts w:hint="eastAsia"/>
          <w:highlight w:val="none"/>
          <w:lang w:val="en-US" w:eastAsia="zh-CN"/>
        </w:rPr>
        <w:t>40%</w:t>
      </w:r>
      <w:r>
        <w:rPr>
          <w:rFonts w:hint="eastAsia"/>
          <w:highlight w:val="none"/>
        </w:rPr>
        <w:t>。综上所述</w:t>
      </w:r>
      <w:r>
        <w:rPr>
          <w:rFonts w:hint="eastAsia"/>
          <w:highlight w:val="none"/>
          <w:lang w:val="en-US" w:eastAsia="zh-CN"/>
        </w:rPr>
        <w:t>，</w:t>
      </w:r>
      <w:r>
        <w:rPr>
          <w:rFonts w:hint="eastAsia"/>
          <w:highlight w:val="none"/>
        </w:rPr>
        <w:t>该指标分值</w:t>
      </w:r>
      <w:r>
        <w:rPr>
          <w:rFonts w:hint="eastAsia"/>
          <w:highlight w:val="none"/>
          <w:lang w:val="en-US" w:eastAsia="zh-CN"/>
        </w:rPr>
        <w:t>8</w:t>
      </w:r>
      <w:r>
        <w:rPr>
          <w:rFonts w:hint="eastAsia"/>
          <w:highlight w:val="none"/>
        </w:rPr>
        <w:t>分，根据评分标准得</w:t>
      </w:r>
      <w:r>
        <w:rPr>
          <w:rFonts w:hint="eastAsia"/>
          <w:highlight w:val="none"/>
          <w:lang w:val="en-US" w:eastAsia="zh-CN"/>
        </w:rPr>
        <w:t>3.2</w:t>
      </w:r>
      <w:r>
        <w:rPr>
          <w:rFonts w:hint="eastAsia"/>
          <w:highlight w:val="none"/>
        </w:rPr>
        <w:t>分，得分率</w:t>
      </w:r>
      <w:r>
        <w:rPr>
          <w:rFonts w:hint="eastAsia"/>
          <w:highlight w:val="none"/>
          <w:lang w:val="en-US" w:eastAsia="zh-CN"/>
        </w:rPr>
        <w:t>40</w:t>
      </w:r>
      <w:r>
        <w:rPr>
          <w:rFonts w:hint="eastAsia"/>
          <w:highlight w:val="none"/>
        </w:rPr>
        <w:t>%。</w:t>
      </w:r>
    </w:p>
    <w:p>
      <w:pPr>
        <w:pStyle w:val="26"/>
        <w:ind w:firstLine="640"/>
      </w:pPr>
      <w:r>
        <w:t>4.产出</w:t>
      </w:r>
      <w:r>
        <w:rPr>
          <w:rFonts w:hint="eastAsia"/>
        </w:rPr>
        <w:t>成本</w:t>
      </w:r>
    </w:p>
    <w:p>
      <w:pPr>
        <w:pStyle w:val="26"/>
        <w:ind w:firstLine="640"/>
        <w:rPr>
          <w:rFonts w:hint="eastAsia"/>
          <w:highlight w:val="none"/>
        </w:rPr>
      </w:pPr>
      <w:r>
        <w:rPr>
          <w:rFonts w:hint="eastAsia"/>
          <w:highlight w:val="none"/>
        </w:rPr>
        <w:t>水利建设和维修养护工程</w:t>
      </w:r>
      <w:r>
        <w:rPr>
          <w:rFonts w:hint="eastAsia"/>
          <w:highlight w:val="none"/>
          <w:lang w:val="en-US" w:eastAsia="zh-CN"/>
        </w:rPr>
        <w:t>节约率</w:t>
      </w:r>
      <w:r>
        <w:rPr>
          <w:highlight w:val="none"/>
        </w:rPr>
        <w:t>（总分</w:t>
      </w:r>
      <w:r>
        <w:rPr>
          <w:rFonts w:hint="eastAsia"/>
          <w:highlight w:val="none"/>
          <w:lang w:val="en-US" w:eastAsia="zh-CN"/>
        </w:rPr>
        <w:t>5</w:t>
      </w:r>
      <w:r>
        <w:rPr>
          <w:highlight w:val="none"/>
        </w:rPr>
        <w:t>分，得分</w:t>
      </w:r>
      <w:r>
        <w:rPr>
          <w:rFonts w:hint="eastAsia"/>
          <w:highlight w:val="none"/>
          <w:lang w:val="en-US" w:eastAsia="zh-CN"/>
        </w:rPr>
        <w:t>5</w:t>
      </w:r>
      <w:r>
        <w:rPr>
          <w:highlight w:val="none"/>
        </w:rPr>
        <w:t>分）。</w:t>
      </w:r>
      <w:r>
        <w:rPr>
          <w:rFonts w:hint="eastAsia"/>
          <w:highlight w:val="none"/>
        </w:rPr>
        <w:t>根据哈密市伊州区</w:t>
      </w:r>
      <w:r>
        <w:rPr>
          <w:rFonts w:hint="eastAsia"/>
          <w:highlight w:val="none"/>
          <w:lang w:val="en-US" w:eastAsia="zh-CN"/>
        </w:rPr>
        <w:t>水利局</w:t>
      </w:r>
      <w:r>
        <w:rPr>
          <w:rFonts w:hint="eastAsia"/>
          <w:highlight w:val="none"/>
        </w:rPr>
        <w:t>提供项目可行性研究报告、初步设计</w:t>
      </w:r>
      <w:r>
        <w:rPr>
          <w:rFonts w:hint="eastAsia"/>
          <w:highlight w:val="none"/>
          <w:lang w:eastAsia="zh-CN"/>
        </w:rPr>
        <w:t>、</w:t>
      </w:r>
      <w:r>
        <w:rPr>
          <w:rFonts w:hint="eastAsia"/>
          <w:highlight w:val="none"/>
          <w:lang w:val="en-US" w:eastAsia="zh-CN"/>
        </w:rPr>
        <w:t>实施方案</w:t>
      </w:r>
      <w:r>
        <w:rPr>
          <w:rFonts w:hint="eastAsia"/>
          <w:highlight w:val="none"/>
        </w:rPr>
        <w:t>与项目</w:t>
      </w:r>
      <w:r>
        <w:rPr>
          <w:rFonts w:hint="eastAsia"/>
          <w:highlight w:val="none"/>
          <w:lang w:val="en-US" w:eastAsia="zh-CN"/>
        </w:rPr>
        <w:t>结算审核</w:t>
      </w:r>
      <w:r>
        <w:rPr>
          <w:rFonts w:hint="eastAsia"/>
          <w:highlight w:val="none"/>
        </w:rPr>
        <w:t>报告</w:t>
      </w:r>
      <w:r>
        <w:rPr>
          <w:rFonts w:hint="eastAsia"/>
          <w:highlight w:val="none"/>
          <w:lang w:eastAsia="zh-CN"/>
        </w:rPr>
        <w:t>，</w:t>
      </w:r>
      <w:r>
        <w:rPr>
          <w:rFonts w:hint="eastAsia"/>
          <w:highlight w:val="none"/>
        </w:rPr>
        <w:t>项目总投资概算为2682.50</w:t>
      </w:r>
      <w:r>
        <w:rPr>
          <w:highlight w:val="none"/>
        </w:rPr>
        <w:t>万元</w:t>
      </w:r>
      <w:r>
        <w:rPr>
          <w:rFonts w:hint="eastAsia"/>
          <w:highlight w:val="none"/>
          <w:lang w:eastAsia="zh-CN"/>
        </w:rPr>
        <w:t>，</w:t>
      </w:r>
      <w:r>
        <w:rPr>
          <w:rFonts w:hint="eastAsia"/>
          <w:highlight w:val="none"/>
        </w:rPr>
        <w:t>其中：山洪</w:t>
      </w:r>
      <w:r>
        <w:rPr>
          <w:rFonts w:hint="eastAsia"/>
          <w:highlight w:val="none"/>
          <w:lang w:val="en-US" w:eastAsia="zh-CN"/>
        </w:rPr>
        <w:t>灾害</w:t>
      </w:r>
      <w:r>
        <w:rPr>
          <w:rFonts w:hint="eastAsia"/>
          <w:highlight w:val="none"/>
        </w:rPr>
        <w:t>防治</w:t>
      </w:r>
      <w:r>
        <w:rPr>
          <w:rFonts w:hint="eastAsia"/>
          <w:highlight w:val="none"/>
          <w:lang w:val="en-US" w:eastAsia="zh-CN"/>
        </w:rPr>
        <w:t>46</w:t>
      </w:r>
      <w:r>
        <w:rPr>
          <w:rFonts w:hint="eastAsia"/>
          <w:highlight w:val="none"/>
        </w:rPr>
        <w:t>万元、农村饮水工程</w:t>
      </w:r>
    </w:p>
    <w:p>
      <w:pPr>
        <w:pStyle w:val="26"/>
        <w:ind w:left="0" w:leftChars="0" w:firstLine="0" w:firstLineChars="0"/>
        <w:rPr>
          <w:highlight w:val="none"/>
        </w:rPr>
      </w:pPr>
      <w:r>
        <w:rPr>
          <w:rFonts w:hint="eastAsia"/>
          <w:highlight w:val="none"/>
        </w:rPr>
        <w:t>维修</w:t>
      </w:r>
      <w:r>
        <w:rPr>
          <w:rFonts w:hint="eastAsia"/>
          <w:highlight w:val="none"/>
          <w:lang w:val="en-US" w:eastAsia="zh-CN"/>
        </w:rPr>
        <w:t>养护110</w:t>
      </w:r>
      <w:r>
        <w:rPr>
          <w:rFonts w:hint="eastAsia"/>
          <w:highlight w:val="none"/>
        </w:rPr>
        <w:t>万元、小型水库维</w:t>
      </w:r>
      <w:r>
        <w:rPr>
          <w:rFonts w:hint="eastAsia"/>
          <w:highlight w:val="none"/>
          <w:lang w:val="en-US" w:eastAsia="zh-CN"/>
        </w:rPr>
        <w:t>修</w:t>
      </w:r>
      <w:r>
        <w:rPr>
          <w:rFonts w:hint="eastAsia"/>
          <w:highlight w:val="none"/>
        </w:rPr>
        <w:t>养护</w:t>
      </w:r>
      <w:r>
        <w:rPr>
          <w:rFonts w:hint="eastAsia"/>
          <w:highlight w:val="none"/>
          <w:lang w:val="en-US" w:eastAsia="zh-CN"/>
        </w:rPr>
        <w:t>96.50</w:t>
      </w:r>
      <w:r>
        <w:rPr>
          <w:rFonts w:hint="eastAsia"/>
          <w:highlight w:val="none"/>
        </w:rPr>
        <w:t>万元</w:t>
      </w:r>
      <w:r>
        <w:rPr>
          <w:rFonts w:hint="eastAsia"/>
          <w:highlight w:val="none"/>
          <w:lang w:eastAsia="zh-CN"/>
        </w:rPr>
        <w:t>、</w:t>
      </w:r>
      <w:r>
        <w:rPr>
          <w:rFonts w:hint="eastAsia"/>
          <w:highlight w:val="none"/>
          <w:lang w:val="en-US" w:eastAsia="zh-CN"/>
        </w:rPr>
        <w:t>节水补助及奖补20万元、农业水价综合改革200万元、地下水超采治理2210万元</w:t>
      </w:r>
      <w:r>
        <w:rPr>
          <w:rFonts w:hint="eastAsia"/>
          <w:highlight w:val="none"/>
          <w:lang w:eastAsia="zh-CN"/>
        </w:rPr>
        <w:t>。</w:t>
      </w:r>
      <w:r>
        <w:rPr>
          <w:rFonts w:hint="eastAsia"/>
          <w:highlight w:val="none"/>
          <w:lang w:val="en-US" w:eastAsia="zh-CN"/>
        </w:rPr>
        <w:t>2024年</w:t>
      </w:r>
      <w:r>
        <w:rPr>
          <w:rFonts w:hint="eastAsia"/>
          <w:highlight w:val="none"/>
        </w:rPr>
        <w:t>项目</w:t>
      </w:r>
      <w:r>
        <w:rPr>
          <w:rFonts w:hint="eastAsia"/>
          <w:highlight w:val="none"/>
          <w:lang w:val="en-US" w:eastAsia="zh-CN"/>
        </w:rPr>
        <w:t>结算审核</w:t>
      </w:r>
      <w:r>
        <w:rPr>
          <w:rFonts w:hint="eastAsia"/>
          <w:highlight w:val="none"/>
        </w:rPr>
        <w:t>价为</w:t>
      </w:r>
      <w:r>
        <w:rPr>
          <w:rFonts w:hint="eastAsia"/>
          <w:highlight w:val="none"/>
          <w:lang w:val="en-US" w:eastAsia="zh-CN"/>
        </w:rPr>
        <w:t>2251.48</w:t>
      </w:r>
      <w:r>
        <w:rPr>
          <w:rFonts w:hint="eastAsia"/>
          <w:highlight w:val="none"/>
        </w:rPr>
        <w:t>万元</w:t>
      </w:r>
      <w:r>
        <w:rPr>
          <w:rFonts w:hint="eastAsia"/>
          <w:highlight w:val="none"/>
          <w:lang w:eastAsia="zh-CN"/>
        </w:rPr>
        <w:t>，</w:t>
      </w:r>
      <w:r>
        <w:rPr>
          <w:rFonts w:hint="eastAsia"/>
          <w:highlight w:val="none"/>
        </w:rPr>
        <w:t>其中：山洪</w:t>
      </w:r>
      <w:r>
        <w:rPr>
          <w:rFonts w:hint="eastAsia"/>
          <w:highlight w:val="none"/>
          <w:lang w:val="en-US" w:eastAsia="zh-CN"/>
        </w:rPr>
        <w:t>灾害</w:t>
      </w:r>
      <w:r>
        <w:rPr>
          <w:rFonts w:hint="eastAsia"/>
          <w:highlight w:val="none"/>
        </w:rPr>
        <w:t>防治</w:t>
      </w:r>
      <w:r>
        <w:rPr>
          <w:rFonts w:hint="eastAsia"/>
          <w:highlight w:val="none"/>
          <w:lang w:val="en-US" w:eastAsia="zh-CN"/>
        </w:rPr>
        <w:t>41.90</w:t>
      </w:r>
      <w:r>
        <w:rPr>
          <w:rFonts w:hint="eastAsia"/>
          <w:highlight w:val="none"/>
        </w:rPr>
        <w:t>万元、农村饮水工程维修</w:t>
      </w:r>
      <w:r>
        <w:rPr>
          <w:rFonts w:hint="eastAsia"/>
          <w:highlight w:val="none"/>
          <w:lang w:val="en-US" w:eastAsia="zh-CN"/>
        </w:rPr>
        <w:t>养护88.07</w:t>
      </w:r>
      <w:r>
        <w:rPr>
          <w:rFonts w:hint="eastAsia"/>
          <w:highlight w:val="none"/>
        </w:rPr>
        <w:t>万元、小型水库维</w:t>
      </w:r>
      <w:r>
        <w:rPr>
          <w:rFonts w:hint="eastAsia"/>
          <w:highlight w:val="none"/>
          <w:lang w:val="en-US" w:eastAsia="zh-CN"/>
        </w:rPr>
        <w:t>修</w:t>
      </w:r>
      <w:r>
        <w:rPr>
          <w:rFonts w:hint="eastAsia"/>
          <w:highlight w:val="none"/>
        </w:rPr>
        <w:t>养护</w:t>
      </w:r>
      <w:r>
        <w:rPr>
          <w:rFonts w:hint="eastAsia"/>
          <w:highlight w:val="none"/>
          <w:lang w:val="en-US" w:eastAsia="zh-CN"/>
        </w:rPr>
        <w:t>96.49</w:t>
      </w:r>
      <w:r>
        <w:rPr>
          <w:rFonts w:hint="eastAsia"/>
          <w:highlight w:val="none"/>
        </w:rPr>
        <w:t>万元</w:t>
      </w:r>
      <w:r>
        <w:rPr>
          <w:rFonts w:hint="eastAsia"/>
          <w:highlight w:val="none"/>
          <w:lang w:eastAsia="zh-CN"/>
        </w:rPr>
        <w:t>、</w:t>
      </w:r>
      <w:r>
        <w:rPr>
          <w:rFonts w:hint="eastAsia"/>
          <w:highlight w:val="none"/>
          <w:lang w:val="en-US" w:eastAsia="zh-CN"/>
        </w:rPr>
        <w:t>节水补助及奖补16.25万元、农业水价综合改革199.50万元、地下水超采治理1809.27万元</w:t>
      </w:r>
      <w:r>
        <w:rPr>
          <w:rFonts w:hint="eastAsia"/>
          <w:highlight w:val="none"/>
          <w:lang w:eastAsia="zh-CN"/>
        </w:rPr>
        <w:t>。</w:t>
      </w:r>
      <w:r>
        <w:rPr>
          <w:rFonts w:hint="eastAsia"/>
          <w:highlight w:val="none"/>
        </w:rPr>
        <w:t>项目</w:t>
      </w:r>
      <w:r>
        <w:rPr>
          <w:highlight w:val="none"/>
        </w:rPr>
        <w:t>资金</w:t>
      </w:r>
      <w:r>
        <w:rPr>
          <w:rFonts w:hint="eastAsia"/>
          <w:highlight w:val="none"/>
        </w:rPr>
        <w:t>成本</w:t>
      </w:r>
      <w:r>
        <w:rPr>
          <w:highlight w:val="none"/>
        </w:rPr>
        <w:t>节约率</w:t>
      </w:r>
      <w:r>
        <w:rPr>
          <w:rFonts w:hint="eastAsia"/>
          <w:highlight w:val="none"/>
        </w:rPr>
        <w:t>为1</w:t>
      </w:r>
      <w:r>
        <w:rPr>
          <w:rFonts w:hint="eastAsia"/>
          <w:highlight w:val="none"/>
          <w:lang w:val="en-US" w:eastAsia="zh-CN"/>
        </w:rPr>
        <w:t>6</w:t>
      </w:r>
      <w:r>
        <w:rPr>
          <w:rFonts w:hint="eastAsia"/>
          <w:highlight w:val="none"/>
        </w:rPr>
        <w:t>.0</w:t>
      </w:r>
      <w:r>
        <w:rPr>
          <w:rFonts w:hint="eastAsia"/>
          <w:highlight w:val="none"/>
          <w:lang w:val="en-US" w:eastAsia="zh-CN"/>
        </w:rPr>
        <w:t>7</w:t>
      </w:r>
      <w:r>
        <w:rPr>
          <w:highlight w:val="none"/>
        </w:rPr>
        <w:t>%</w:t>
      </w:r>
      <w:r>
        <w:rPr>
          <w:rFonts w:hint="eastAsia"/>
          <w:highlight w:val="none"/>
        </w:rPr>
        <w:t>。综上所述，该指标分值</w:t>
      </w:r>
      <w:r>
        <w:rPr>
          <w:rFonts w:hint="eastAsia"/>
          <w:highlight w:val="none"/>
          <w:lang w:val="en-US" w:eastAsia="zh-CN"/>
        </w:rPr>
        <w:t>5</w:t>
      </w:r>
      <w:r>
        <w:rPr>
          <w:rFonts w:hint="eastAsia"/>
          <w:highlight w:val="none"/>
        </w:rPr>
        <w:t>分，根据评分标准得</w:t>
      </w:r>
      <w:r>
        <w:rPr>
          <w:rFonts w:hint="eastAsia"/>
          <w:highlight w:val="none"/>
          <w:lang w:val="en-US" w:eastAsia="zh-CN"/>
        </w:rPr>
        <w:t>5</w:t>
      </w:r>
      <w:r>
        <w:rPr>
          <w:rFonts w:hint="eastAsia"/>
          <w:highlight w:val="none"/>
        </w:rPr>
        <w:t>分，得分率100%。</w:t>
      </w:r>
    </w:p>
    <w:p>
      <w:pPr>
        <w:pStyle w:val="31"/>
        <w:spacing w:before="0" w:after="0"/>
        <w:ind w:firstLine="643"/>
        <w:rPr>
          <w:rFonts w:hint="eastAsia"/>
          <w:b/>
          <w:bCs w:val="0"/>
        </w:rPr>
      </w:pPr>
      <w:bookmarkStart w:id="12" w:name="_Toc172283520"/>
      <w:r>
        <w:rPr>
          <w:rFonts w:hint="eastAsia"/>
          <w:b/>
          <w:bCs w:val="0"/>
        </w:rPr>
        <w:t>（四）项目效益情况</w:t>
      </w:r>
      <w:bookmarkEnd w:id="12"/>
    </w:p>
    <w:p>
      <w:pPr>
        <w:pStyle w:val="26"/>
        <w:ind w:firstLine="640"/>
        <w:rPr>
          <w:highlight w:val="yellow"/>
        </w:rPr>
      </w:pPr>
      <w:r>
        <w:rPr>
          <w:rFonts w:hint="eastAsia"/>
        </w:rPr>
        <w:t>效益指标主要包括项目效益、满意度2项</w:t>
      </w:r>
      <w:r>
        <w:t>二级指标，</w:t>
      </w:r>
      <w:r>
        <w:rPr>
          <w:rFonts w:hint="eastAsia"/>
        </w:rPr>
        <w:t>4</w:t>
      </w:r>
      <w:r>
        <w:t>项三级指标，基础总分2</w:t>
      </w:r>
      <w:r>
        <w:rPr>
          <w:rFonts w:hint="eastAsia"/>
        </w:rPr>
        <w:t>0</w:t>
      </w:r>
      <w:r>
        <w:t>分，合计得分</w:t>
      </w:r>
      <w:r>
        <w:rPr>
          <w:rFonts w:hint="eastAsia"/>
          <w:lang w:val="en-US" w:eastAsia="zh-CN"/>
        </w:rPr>
        <w:t>20</w:t>
      </w:r>
      <w:r>
        <w:t>分。</w:t>
      </w:r>
    </w:p>
    <w:p>
      <w:pPr>
        <w:pStyle w:val="26"/>
        <w:ind w:firstLine="640"/>
      </w:pPr>
      <w:r>
        <w:t>1.</w:t>
      </w:r>
      <w:r>
        <w:rPr>
          <w:rFonts w:hint="eastAsia"/>
        </w:rPr>
        <w:t>项目效益</w:t>
      </w:r>
    </w:p>
    <w:p>
      <w:pPr>
        <w:pStyle w:val="26"/>
        <w:ind w:firstLine="640"/>
        <w:rPr>
          <w:highlight w:val="yellow"/>
        </w:rPr>
      </w:pPr>
      <w:r>
        <w:rPr>
          <w:rFonts w:hint="eastAsia"/>
        </w:rPr>
        <w:t>（</w:t>
      </w:r>
      <w:r>
        <w:t>1）</w:t>
      </w:r>
      <w:r>
        <w:rPr>
          <w:rFonts w:hint="eastAsia"/>
        </w:rPr>
        <w:t>山洪灾害防治</w:t>
      </w:r>
      <w:r>
        <w:rPr>
          <w:rFonts w:hint="eastAsia"/>
          <w:lang w:val="en-US" w:eastAsia="zh-CN"/>
        </w:rPr>
        <w:t>水平提升</w:t>
      </w:r>
      <w:r>
        <w:rPr>
          <w:rFonts w:hint="eastAsia"/>
        </w:rPr>
        <w:t>情况</w:t>
      </w:r>
      <w:r>
        <w:t>（总分</w:t>
      </w:r>
      <w:r>
        <w:rPr>
          <w:rFonts w:hint="eastAsia"/>
          <w:lang w:val="en-US" w:eastAsia="zh-CN"/>
        </w:rPr>
        <w:t>5</w:t>
      </w:r>
      <w:r>
        <w:t>分，得分</w:t>
      </w:r>
      <w:r>
        <w:rPr>
          <w:rFonts w:hint="eastAsia"/>
          <w:lang w:val="en-US" w:eastAsia="zh-CN"/>
        </w:rPr>
        <w:t>5</w:t>
      </w:r>
      <w:r>
        <w:t>分）。</w:t>
      </w:r>
      <w:r>
        <w:rPr>
          <w:rFonts w:hint="eastAsia"/>
        </w:rPr>
        <w:t>伊州区山洪灾害防治区防御对象和危险区较多，山洪灾害防治存在雨水情监测设施站网密度低，监测站网布局不合理，危险区、防御对象存在监测盲区，</w:t>
      </w:r>
      <w:r>
        <w:rPr>
          <w:rFonts w:hint="eastAsia"/>
          <w:lang w:val="en-US" w:eastAsia="zh-CN"/>
        </w:rPr>
        <w:t>2024年通过优化雨水情监测站点7个（分别为芨芨台沟上游雨量站、头道沟村上游雨量站、四道沟上游雨量站、小天生圈上游雨量站、卡拉卡依提村上游雨量站、南山口南部戈壁雨量站、西山乡南部戈壁雨量站），更新4G 监测站（迁移）2个（分别为七道沟上游雨量卫星站、六道沟村委会卫星雨量站），更新卫星通信信道2个（分别为南山口渠首水位站、南山口渠首雨量站），完善县级山洪防御应急预案1个、乡镇山洪防御应急预案6个、村级山洪防御应急预案13个，有效补全了</w:t>
      </w:r>
      <w:r>
        <w:rPr>
          <w:rFonts w:hint="eastAsia"/>
        </w:rPr>
        <w:t>山洪防治基层乡村和单位群测群防体系不健全等短板和薄弱环节。</w:t>
      </w:r>
      <w:r>
        <w:rPr>
          <w:rFonts w:hint="eastAsia"/>
          <w:lang w:val="en-US" w:eastAsia="zh-CN"/>
        </w:rPr>
        <w:t>综上所述，</w:t>
      </w:r>
      <w:r>
        <w:rPr>
          <w:rFonts w:hint="eastAsia"/>
        </w:rPr>
        <w:t>该指标分值</w:t>
      </w:r>
      <w:r>
        <w:rPr>
          <w:rFonts w:hint="eastAsia"/>
          <w:lang w:val="en-US" w:eastAsia="zh-CN"/>
        </w:rPr>
        <w:t>5</w:t>
      </w:r>
      <w:r>
        <w:rPr>
          <w:rFonts w:hint="eastAsia"/>
        </w:rPr>
        <w:t>分，根据评分标准得</w:t>
      </w:r>
      <w:r>
        <w:rPr>
          <w:rFonts w:hint="eastAsia"/>
          <w:lang w:val="en-US" w:eastAsia="zh-CN"/>
        </w:rPr>
        <w:t>5</w:t>
      </w:r>
      <w:r>
        <w:rPr>
          <w:rFonts w:hint="eastAsia"/>
        </w:rPr>
        <w:t>分，得分率100%。</w:t>
      </w:r>
    </w:p>
    <w:p>
      <w:pPr>
        <w:pStyle w:val="26"/>
        <w:ind w:firstLine="640"/>
      </w:pPr>
      <w:r>
        <w:rPr>
          <w:rFonts w:hint="eastAsia"/>
        </w:rPr>
        <w:t>（2</w:t>
      </w:r>
      <w:r>
        <w:t>）</w:t>
      </w:r>
      <w:r>
        <w:rPr>
          <w:rFonts w:hint="eastAsia"/>
          <w:lang w:val="en-US" w:eastAsia="zh-CN"/>
        </w:rPr>
        <w:t>水利设施运行保障</w:t>
      </w:r>
      <w:r>
        <w:rPr>
          <w:rFonts w:hint="eastAsia"/>
        </w:rPr>
        <w:t>情况</w:t>
      </w:r>
      <w:r>
        <w:t>（总分</w:t>
      </w:r>
      <w:r>
        <w:rPr>
          <w:rFonts w:hint="eastAsia"/>
          <w:lang w:val="en-US" w:eastAsia="zh-CN"/>
        </w:rPr>
        <w:t>5</w:t>
      </w:r>
      <w:r>
        <w:t>分，得分</w:t>
      </w:r>
      <w:r>
        <w:rPr>
          <w:rFonts w:hint="eastAsia"/>
          <w:lang w:val="en-US" w:eastAsia="zh-CN"/>
        </w:rPr>
        <w:t>5</w:t>
      </w:r>
      <w:r>
        <w:t>分）。</w:t>
      </w:r>
    </w:p>
    <w:p>
      <w:pPr>
        <w:pStyle w:val="26"/>
        <w:ind w:firstLine="640"/>
        <w:rPr>
          <w:highlight w:val="yellow"/>
        </w:rPr>
      </w:pPr>
      <w:r>
        <w:rPr>
          <w:rFonts w:hint="eastAsia"/>
          <w:lang w:val="en-US" w:eastAsia="zh-CN"/>
        </w:rPr>
        <w:t>伊州区现有水利设施及工程</w:t>
      </w:r>
      <w:r>
        <w:rPr>
          <w:rFonts w:hint="eastAsia"/>
        </w:rPr>
        <w:t>随着长期运行，部分工程的设备及元</w:t>
      </w:r>
      <w:r>
        <w:rPr>
          <w:rFonts w:hint="eastAsia"/>
          <w:lang w:val="en-US" w:eastAsia="zh-CN"/>
        </w:rPr>
        <w:t>器</w:t>
      </w:r>
      <w:r>
        <w:rPr>
          <w:rFonts w:hint="eastAsia"/>
        </w:rPr>
        <w:t>件等出现损坏，影响了工程的正常运行，无法稳定</w:t>
      </w:r>
      <w:r>
        <w:rPr>
          <w:rFonts w:hint="eastAsia"/>
          <w:lang w:val="en-US" w:eastAsia="zh-CN"/>
        </w:rPr>
        <w:t>发挥其效益</w:t>
      </w:r>
      <w:r>
        <w:rPr>
          <w:rFonts w:hint="eastAsia"/>
        </w:rPr>
        <w:t>。</w:t>
      </w:r>
      <w:r>
        <w:rPr>
          <w:rFonts w:hint="eastAsia"/>
          <w:lang w:val="en-US" w:eastAsia="zh-CN"/>
        </w:rPr>
        <w:t>2024年通过完成对大泉湾水厂、西郊水厂、骆驼土子水厂的机井、闸阀井、水泵等供水设施更新维护，为沁城乡小堡村安装家用净水器，有效保障了伊州区供水能力，为居民提供了安全饮水。完成对石城子灌区、都鲁克灌区和沁城灌区渠首、骨干渠道、等计量设施及闸门的维修养护，有效解决地表水计量设施计量不精准、引水渠首及骨干渠系破损、老化等问题，进一步巩固水价综合改革成效，提高了水资源利用效率。完成对乌拉台水库、四道沟水库、花园水库等16座小型水库的大坝护坡、放水闸门等方面的维修养护，消除了水库安全运行风险隐患，增强了水库的灌溉、防洪和供水保障能力。</w:t>
      </w:r>
      <w:r>
        <w:rPr>
          <w:rFonts w:hint="eastAsia"/>
        </w:rPr>
        <w:t>综上所述，该指标分值</w:t>
      </w:r>
      <w:r>
        <w:rPr>
          <w:rFonts w:hint="eastAsia"/>
          <w:lang w:val="en-US" w:eastAsia="zh-CN"/>
        </w:rPr>
        <w:t>5</w:t>
      </w:r>
      <w:r>
        <w:rPr>
          <w:rFonts w:hint="eastAsia"/>
        </w:rPr>
        <w:t>分，根据评分标准得</w:t>
      </w:r>
      <w:r>
        <w:rPr>
          <w:rFonts w:hint="eastAsia"/>
          <w:lang w:val="en-US" w:eastAsia="zh-CN"/>
        </w:rPr>
        <w:t>5</w:t>
      </w:r>
      <w:r>
        <w:rPr>
          <w:rFonts w:hint="eastAsia"/>
        </w:rPr>
        <w:t>分，得分率100%。</w:t>
      </w:r>
    </w:p>
    <w:p>
      <w:pPr>
        <w:pStyle w:val="26"/>
        <w:ind w:firstLine="640"/>
      </w:pPr>
      <w:r>
        <w:rPr>
          <w:rFonts w:hint="eastAsia"/>
        </w:rPr>
        <w:t>（3</w:t>
      </w:r>
      <w:r>
        <w:t>）</w:t>
      </w:r>
      <w:r>
        <w:rPr>
          <w:rFonts w:hint="eastAsia"/>
        </w:rPr>
        <w:t>地下水超采治理</w:t>
      </w:r>
      <w:r>
        <w:rPr>
          <w:rFonts w:hint="eastAsia"/>
          <w:lang w:val="en-US" w:eastAsia="zh-CN"/>
        </w:rPr>
        <w:t>情况</w:t>
      </w:r>
      <w:r>
        <w:t>（总分</w:t>
      </w:r>
      <w:r>
        <w:rPr>
          <w:rFonts w:hint="eastAsia"/>
          <w:lang w:val="en-US" w:eastAsia="zh-CN"/>
        </w:rPr>
        <w:t>5</w:t>
      </w:r>
      <w:r>
        <w:t>分，得分</w:t>
      </w:r>
      <w:r>
        <w:rPr>
          <w:rFonts w:hint="eastAsia"/>
          <w:lang w:val="en-US" w:eastAsia="zh-CN"/>
        </w:rPr>
        <w:t>5</w:t>
      </w:r>
      <w:r>
        <w:t>分）。</w:t>
      </w:r>
    </w:p>
    <w:p>
      <w:pPr>
        <w:pStyle w:val="26"/>
        <w:ind w:firstLine="640"/>
        <w:rPr>
          <w:highlight w:val="yellow"/>
        </w:rPr>
      </w:pPr>
      <w:r>
        <w:rPr>
          <w:rFonts w:hint="eastAsia"/>
          <w:lang w:val="en-US" w:eastAsia="zh-CN"/>
        </w:rPr>
        <w:t>根据评价组了解及可行性研究报告，伊州区</w:t>
      </w:r>
      <w:r>
        <w:rPr>
          <w:rFonts w:hint="eastAsia"/>
        </w:rPr>
        <w:t>东郊草场主要依靠开采地下水来满足1.337万亩的灌溉用水，地表水根据上游来水量情况进行补充灌溉，因此导致东郊草场片区地下水超采，东郊草场片区 2022-2023 年地下水水位降幅最大为1.2m，降幅最小为0.69m</w:t>
      </w:r>
      <w:r>
        <w:rPr>
          <w:rFonts w:hint="eastAsia"/>
          <w:lang w:eastAsia="zh-CN"/>
        </w:rPr>
        <w:t>。</w:t>
      </w:r>
      <w:r>
        <w:rPr>
          <w:rFonts w:hint="eastAsia"/>
          <w:lang w:val="en-US" w:eastAsia="zh-CN"/>
        </w:rPr>
        <w:t>2024年通过对伊州区东郊草场片区实施地下水超采治理地表水置换地下水工程一期，</w:t>
      </w:r>
      <w:r>
        <w:rPr>
          <w:rFonts w:hint="eastAsia"/>
          <w:lang w:eastAsia="zh-CN"/>
        </w:rPr>
        <w:t>将地下水全部置换为地表水，起点位于石榆总</w:t>
      </w:r>
      <w:r>
        <w:rPr>
          <w:rFonts w:hint="eastAsia"/>
          <w:lang w:val="en-US" w:eastAsia="zh-CN"/>
        </w:rPr>
        <w:t>干</w:t>
      </w:r>
      <w:r>
        <w:rPr>
          <w:rFonts w:hint="eastAsia"/>
          <w:lang w:eastAsia="zh-CN"/>
        </w:rPr>
        <w:t>渠距汇合口约 1.45km处，从起点至机</w:t>
      </w:r>
      <w:r>
        <w:rPr>
          <w:rFonts w:hint="eastAsia"/>
          <w:lang w:val="en-US" w:eastAsia="zh-CN"/>
        </w:rPr>
        <w:t>井</w:t>
      </w:r>
      <w:r>
        <w:rPr>
          <w:rFonts w:hint="eastAsia"/>
          <w:lang w:eastAsia="zh-CN"/>
        </w:rPr>
        <w:t>全部铺设输水管道24.246km，</w:t>
      </w:r>
      <w:r>
        <w:rPr>
          <w:rFonts w:hint="eastAsia"/>
          <w:lang w:val="en-US" w:eastAsia="zh-CN"/>
        </w:rPr>
        <w:t>有效</w:t>
      </w:r>
      <w:r>
        <w:rPr>
          <w:rFonts w:hint="eastAsia"/>
          <w:lang w:eastAsia="zh-CN"/>
        </w:rPr>
        <w:t>减少水的蒸发渗漏损失，提高水利用系数，满足灌区的灌溉用水量。</w:t>
      </w:r>
      <w:r>
        <w:rPr>
          <w:rFonts w:hint="eastAsia"/>
        </w:rPr>
        <w:t>综上所述，该指标分值</w:t>
      </w:r>
      <w:r>
        <w:rPr>
          <w:rFonts w:hint="eastAsia"/>
          <w:lang w:val="en-US" w:eastAsia="zh-CN"/>
        </w:rPr>
        <w:t>5</w:t>
      </w:r>
      <w:r>
        <w:rPr>
          <w:rFonts w:hint="eastAsia"/>
        </w:rPr>
        <w:t>分，根据评分标准得</w:t>
      </w:r>
      <w:r>
        <w:rPr>
          <w:rFonts w:hint="eastAsia"/>
          <w:lang w:val="en-US" w:eastAsia="zh-CN"/>
        </w:rPr>
        <w:t>5</w:t>
      </w:r>
      <w:r>
        <w:rPr>
          <w:rFonts w:hint="eastAsia"/>
        </w:rPr>
        <w:t>分，得分率</w:t>
      </w:r>
      <w:r>
        <w:rPr>
          <w:rFonts w:hint="eastAsia"/>
          <w:lang w:val="en-US" w:eastAsia="zh-CN"/>
        </w:rPr>
        <w:t>10</w:t>
      </w:r>
      <w:r>
        <w:rPr>
          <w:rFonts w:hint="eastAsia"/>
        </w:rPr>
        <w:t>0%。</w:t>
      </w:r>
    </w:p>
    <w:p>
      <w:pPr>
        <w:pStyle w:val="26"/>
        <w:ind w:firstLine="640"/>
        <w:rPr>
          <w:highlight w:val="none"/>
        </w:rPr>
      </w:pPr>
      <w:r>
        <w:rPr>
          <w:highlight w:val="none"/>
        </w:rPr>
        <w:t>2.</w:t>
      </w:r>
      <w:r>
        <w:rPr>
          <w:rFonts w:hint="eastAsia"/>
          <w:highlight w:val="none"/>
        </w:rPr>
        <w:t>满意度</w:t>
      </w:r>
    </w:p>
    <w:p>
      <w:pPr>
        <w:pStyle w:val="26"/>
        <w:ind w:firstLine="640"/>
        <w:rPr>
          <w:highlight w:val="none"/>
        </w:rPr>
      </w:pPr>
      <w:r>
        <w:rPr>
          <w:rFonts w:hint="eastAsia"/>
          <w:highlight w:val="none"/>
          <w:lang w:val="en-US" w:eastAsia="zh-CN"/>
        </w:rPr>
        <w:t>用水群众</w:t>
      </w:r>
      <w:r>
        <w:rPr>
          <w:rFonts w:hint="eastAsia"/>
          <w:highlight w:val="none"/>
        </w:rPr>
        <w:t>满意度</w:t>
      </w:r>
      <w:r>
        <w:rPr>
          <w:highlight w:val="none"/>
        </w:rPr>
        <w:t>（总分</w:t>
      </w:r>
      <w:r>
        <w:rPr>
          <w:rFonts w:hint="eastAsia"/>
          <w:highlight w:val="none"/>
          <w:lang w:val="en-US" w:eastAsia="zh-CN"/>
        </w:rPr>
        <w:t>5</w:t>
      </w:r>
      <w:r>
        <w:rPr>
          <w:highlight w:val="none"/>
        </w:rPr>
        <w:t>分，得分</w:t>
      </w:r>
      <w:r>
        <w:rPr>
          <w:rFonts w:hint="eastAsia"/>
          <w:highlight w:val="none"/>
        </w:rPr>
        <w:t>5</w:t>
      </w:r>
      <w:r>
        <w:rPr>
          <w:highlight w:val="none"/>
        </w:rPr>
        <w:t>分）</w:t>
      </w:r>
      <w:r>
        <w:rPr>
          <w:rFonts w:hint="eastAsia"/>
          <w:highlight w:val="none"/>
        </w:rPr>
        <w:t>。依据</w:t>
      </w:r>
      <w:r>
        <w:rPr>
          <w:rFonts w:hint="eastAsia"/>
          <w:highlight w:val="none"/>
          <w:lang w:eastAsia="zh-CN"/>
        </w:rPr>
        <w:t>关于提前下达2024年中央水利发展资金</w:t>
      </w:r>
      <w:r>
        <w:rPr>
          <w:rFonts w:hint="eastAsia"/>
          <w:highlight w:val="none"/>
        </w:rPr>
        <w:t>项目主要实施内容，该项目实际受益对象主要为哈密市伊州区</w:t>
      </w:r>
      <w:r>
        <w:rPr>
          <w:rFonts w:hint="eastAsia"/>
          <w:highlight w:val="none"/>
          <w:lang w:val="en-US" w:eastAsia="zh-CN"/>
        </w:rPr>
        <w:t>用水群众</w:t>
      </w:r>
      <w:r>
        <w:rPr>
          <w:rFonts w:hint="eastAsia"/>
          <w:highlight w:val="none"/>
        </w:rPr>
        <w:t>，评价组随机选取50</w:t>
      </w:r>
      <w:r>
        <w:rPr>
          <w:rFonts w:hint="eastAsia"/>
          <w:highlight w:val="none"/>
          <w:lang w:val="en-US" w:eastAsia="zh-CN"/>
        </w:rPr>
        <w:t>户居民</w:t>
      </w:r>
      <w:r>
        <w:rPr>
          <w:rFonts w:hint="eastAsia"/>
          <w:highlight w:val="none"/>
        </w:rPr>
        <w:t>进行满意度调查，共计</w:t>
      </w:r>
      <w:r>
        <w:rPr>
          <w:highlight w:val="none"/>
        </w:rPr>
        <w:t>发放</w:t>
      </w:r>
      <w:r>
        <w:rPr>
          <w:rFonts w:hint="eastAsia"/>
          <w:highlight w:val="none"/>
        </w:rPr>
        <w:t>5</w:t>
      </w:r>
      <w:r>
        <w:rPr>
          <w:highlight w:val="none"/>
        </w:rPr>
        <w:t>0份问卷，实际收回有效问卷</w:t>
      </w:r>
      <w:r>
        <w:rPr>
          <w:rFonts w:hint="eastAsia"/>
          <w:highlight w:val="none"/>
        </w:rPr>
        <w:t>5</w:t>
      </w:r>
      <w:r>
        <w:rPr>
          <w:highlight w:val="none"/>
        </w:rPr>
        <w:t>0份</w:t>
      </w:r>
      <w:r>
        <w:rPr>
          <w:rFonts w:hint="eastAsia"/>
          <w:highlight w:val="none"/>
        </w:rPr>
        <w:t>。通过针对202</w:t>
      </w:r>
      <w:r>
        <w:rPr>
          <w:rFonts w:hint="eastAsia"/>
          <w:highlight w:val="none"/>
          <w:lang w:val="en-US" w:eastAsia="zh-CN"/>
        </w:rPr>
        <w:t>4</w:t>
      </w:r>
      <w:r>
        <w:rPr>
          <w:rFonts w:hint="eastAsia"/>
          <w:highlight w:val="none"/>
        </w:rPr>
        <w:t>年供水</w:t>
      </w:r>
      <w:r>
        <w:rPr>
          <w:rFonts w:hint="eastAsia"/>
          <w:highlight w:val="none"/>
          <w:lang w:val="en-US" w:eastAsia="zh-CN"/>
        </w:rPr>
        <w:t>保障</w:t>
      </w:r>
      <w:r>
        <w:rPr>
          <w:rFonts w:hint="eastAsia"/>
          <w:highlight w:val="none"/>
        </w:rPr>
        <w:t>情况</w:t>
      </w:r>
      <w:r>
        <w:rPr>
          <w:rFonts w:hint="eastAsia"/>
          <w:highlight w:val="none"/>
          <w:lang w:eastAsia="zh-CN"/>
        </w:rPr>
        <w:t>、</w:t>
      </w:r>
      <w:r>
        <w:rPr>
          <w:rFonts w:hint="eastAsia"/>
          <w:highlight w:val="none"/>
          <w:lang w:val="en-US" w:eastAsia="zh-CN"/>
        </w:rPr>
        <w:t>供水水质情况、</w:t>
      </w:r>
      <w:r>
        <w:rPr>
          <w:rFonts w:hint="eastAsia"/>
          <w:highlight w:val="none"/>
        </w:rPr>
        <w:t>东郊草场片区等“地表水置换地下水”工程实施后，用水便利性</w:t>
      </w:r>
      <w:r>
        <w:rPr>
          <w:rFonts w:hint="eastAsia"/>
          <w:highlight w:val="none"/>
          <w:lang w:val="en-US" w:eastAsia="zh-CN"/>
        </w:rPr>
        <w:t>情况</w:t>
      </w:r>
      <w:r>
        <w:rPr>
          <w:rFonts w:hint="eastAsia"/>
          <w:highlight w:val="none"/>
          <w:lang w:eastAsia="zh-CN"/>
        </w:rPr>
        <w:t>、</w:t>
      </w:r>
      <w:r>
        <w:rPr>
          <w:rFonts w:hint="eastAsia"/>
          <w:highlight w:val="none"/>
        </w:rPr>
        <w:t>山洪灾害监测预警能力</w:t>
      </w:r>
      <w:r>
        <w:rPr>
          <w:rFonts w:hint="eastAsia"/>
          <w:highlight w:val="none"/>
          <w:lang w:val="en-US" w:eastAsia="zh-CN"/>
        </w:rPr>
        <w:t>情况、农业用水灌溉成本稳定情况</w:t>
      </w:r>
      <w:r>
        <w:rPr>
          <w:rFonts w:hint="eastAsia"/>
          <w:highlight w:val="none"/>
        </w:rPr>
        <w:t>开展调查并统计反馈结果，受益对象整体满意度</w:t>
      </w:r>
      <w:r>
        <w:rPr>
          <w:highlight w:val="none"/>
        </w:rPr>
        <w:t>为</w:t>
      </w:r>
      <w:r>
        <w:rPr>
          <w:rFonts w:hint="eastAsia"/>
          <w:highlight w:val="none"/>
        </w:rPr>
        <w:t>9</w:t>
      </w:r>
      <w:r>
        <w:rPr>
          <w:rFonts w:hint="eastAsia"/>
          <w:highlight w:val="none"/>
          <w:lang w:val="en-US" w:eastAsia="zh-CN"/>
        </w:rPr>
        <w:t>3</w:t>
      </w:r>
      <w:r>
        <w:rPr>
          <w:rFonts w:hint="eastAsia"/>
          <w:highlight w:val="none"/>
        </w:rPr>
        <w:t>.</w:t>
      </w:r>
      <w:r>
        <w:rPr>
          <w:rFonts w:hint="eastAsia"/>
          <w:highlight w:val="none"/>
          <w:lang w:val="en-US" w:eastAsia="zh-CN"/>
        </w:rPr>
        <w:t>2</w:t>
      </w:r>
      <w:r>
        <w:rPr>
          <w:rFonts w:hint="eastAsia"/>
          <w:highlight w:val="none"/>
        </w:rPr>
        <w:t>%。综上所述，该指标分值</w:t>
      </w:r>
      <w:r>
        <w:rPr>
          <w:rFonts w:hint="eastAsia"/>
          <w:highlight w:val="none"/>
          <w:lang w:val="en-US" w:eastAsia="zh-CN"/>
        </w:rPr>
        <w:t>5</w:t>
      </w:r>
      <w:r>
        <w:rPr>
          <w:rFonts w:hint="eastAsia"/>
          <w:highlight w:val="none"/>
        </w:rPr>
        <w:t>分，根据评分标准得5分，得分率</w:t>
      </w:r>
      <w:r>
        <w:rPr>
          <w:rFonts w:hint="eastAsia"/>
          <w:highlight w:val="none"/>
          <w:lang w:val="en-US" w:eastAsia="zh-CN"/>
        </w:rPr>
        <w:t>100</w:t>
      </w:r>
      <w:r>
        <w:rPr>
          <w:rFonts w:hint="eastAsia"/>
          <w:highlight w:val="none"/>
        </w:rPr>
        <w:t>%。</w:t>
      </w:r>
    </w:p>
    <w:p>
      <w:pPr>
        <w:pStyle w:val="29"/>
        <w:spacing w:before="0" w:after="0"/>
      </w:pPr>
      <w:bookmarkStart w:id="13" w:name="_Toc172283521"/>
      <w:r>
        <w:rPr>
          <w:rFonts w:hint="eastAsia"/>
        </w:rPr>
        <w:t>五、主要经验及做法、存在的问题及分析</w:t>
      </w:r>
      <w:bookmarkEnd w:id="13"/>
    </w:p>
    <w:p>
      <w:pPr>
        <w:pStyle w:val="31"/>
        <w:spacing w:before="0" w:after="0"/>
        <w:ind w:firstLine="643"/>
        <w:rPr>
          <w:rFonts w:hint="eastAsia"/>
          <w:b/>
          <w:bCs w:val="0"/>
        </w:rPr>
      </w:pPr>
      <w:bookmarkStart w:id="14" w:name="_Toc172283522"/>
      <w:r>
        <w:rPr>
          <w:rFonts w:hint="eastAsia"/>
          <w:b/>
          <w:bCs w:val="0"/>
        </w:rPr>
        <w:t>（一）主要经验及做法</w:t>
      </w:r>
      <w:bookmarkEnd w:id="14"/>
    </w:p>
    <w:p>
      <w:pPr>
        <w:pStyle w:val="26"/>
        <w:ind w:firstLine="643"/>
      </w:pPr>
      <w:r>
        <w:rPr>
          <w:b/>
          <w:bCs/>
        </w:rPr>
        <w:t>1.</w:t>
      </w:r>
      <w:r>
        <w:rPr>
          <w:rFonts w:hint="eastAsia"/>
          <w:b/>
          <w:bCs/>
        </w:rPr>
        <w:t>系统推进地下水超采治理。</w:t>
      </w:r>
      <w:r>
        <w:rPr>
          <w:rFonts w:hint="eastAsia"/>
        </w:rPr>
        <w:t>哈密市伊州区针对地下水管理难题，</w:t>
      </w:r>
      <w:r>
        <w:rPr>
          <w:rFonts w:hint="eastAsia"/>
          <w:lang w:val="en-US" w:eastAsia="zh-CN"/>
        </w:rPr>
        <w:t>对</w:t>
      </w:r>
      <w:r>
        <w:rPr>
          <w:rFonts w:hint="eastAsia"/>
        </w:rPr>
        <w:t>东郊草场片区实施地表水置换地下水工程，新建输水管道 24.246 公里，将石榆总干渠地表水引入农田，</w:t>
      </w:r>
      <w:r>
        <w:rPr>
          <w:rFonts w:hint="eastAsia"/>
          <w:lang w:eastAsia="zh-CN"/>
        </w:rPr>
        <w:t>将地下水全部置换为地表水，</w:t>
      </w:r>
      <w:r>
        <w:rPr>
          <w:rFonts w:hint="eastAsia"/>
        </w:rPr>
        <w:t>减少地下水依赖</w:t>
      </w:r>
      <w:r>
        <w:rPr>
          <w:rFonts w:hint="eastAsia"/>
          <w:lang w:eastAsia="zh-CN"/>
        </w:rPr>
        <w:t>，</w:t>
      </w:r>
      <w:r>
        <w:rPr>
          <w:rFonts w:hint="eastAsia"/>
          <w:lang w:val="en-US" w:eastAsia="zh-CN"/>
        </w:rPr>
        <w:t>解决</w:t>
      </w:r>
      <w:r>
        <w:rPr>
          <w:rFonts w:hint="eastAsia"/>
          <w:lang w:eastAsia="zh-CN"/>
        </w:rPr>
        <w:t>东郊草场片区地下水超采</w:t>
      </w:r>
      <w:r>
        <w:rPr>
          <w:rFonts w:hint="eastAsia"/>
          <w:lang w:val="en-US" w:eastAsia="zh-CN"/>
        </w:rPr>
        <w:t>问题</w:t>
      </w:r>
      <w:r>
        <w:rPr>
          <w:rFonts w:hint="eastAsia"/>
        </w:rPr>
        <w:t>。</w:t>
      </w:r>
    </w:p>
    <w:p>
      <w:pPr>
        <w:pStyle w:val="26"/>
        <w:ind w:firstLine="643"/>
        <w:rPr>
          <w:rFonts w:hint="default" w:eastAsia="仿宋_GB2312"/>
          <w:lang w:val="en-US" w:eastAsia="zh-CN"/>
        </w:rPr>
      </w:pPr>
      <w:r>
        <w:rPr>
          <w:rFonts w:hint="eastAsia"/>
          <w:b/>
          <w:bCs/>
        </w:rPr>
        <w:t>2</w:t>
      </w:r>
      <w:r>
        <w:rPr>
          <w:b/>
          <w:bCs/>
        </w:rPr>
        <w:t>.</w:t>
      </w:r>
      <w:r>
        <w:rPr>
          <w:rFonts w:hint="eastAsia"/>
          <w:b/>
          <w:bCs/>
          <w:lang w:val="en-US" w:eastAsia="zh-CN"/>
        </w:rPr>
        <w:t>进一步加强水利设施</w:t>
      </w:r>
      <w:r>
        <w:rPr>
          <w:rFonts w:hint="eastAsia"/>
          <w:b/>
          <w:bCs/>
        </w:rPr>
        <w:t>养护。</w:t>
      </w:r>
      <w:r>
        <w:rPr>
          <w:rFonts w:hint="eastAsia"/>
        </w:rPr>
        <w:t>哈密市伊州区</w:t>
      </w:r>
      <w:r>
        <w:rPr>
          <w:rFonts w:hint="eastAsia"/>
          <w:lang w:val="en-US" w:eastAsia="zh-CN"/>
        </w:rPr>
        <w:t>2024年对</w:t>
      </w:r>
      <w:r>
        <w:rPr>
          <w:rFonts w:hint="eastAsia"/>
        </w:rPr>
        <w:t>15处供水工程出现损坏</w:t>
      </w:r>
      <w:r>
        <w:rPr>
          <w:rFonts w:hint="eastAsia"/>
          <w:lang w:val="en-US" w:eastAsia="zh-CN"/>
        </w:rPr>
        <w:t>的</w:t>
      </w:r>
      <w:r>
        <w:rPr>
          <w:rFonts w:hint="eastAsia"/>
        </w:rPr>
        <w:t>供水设备及元配件、供水管材管件</w:t>
      </w:r>
      <w:r>
        <w:rPr>
          <w:rFonts w:hint="eastAsia"/>
          <w:lang w:val="en-US" w:eastAsia="zh-CN"/>
        </w:rPr>
        <w:t>进行更新维修，对乌拉台水库等16座小型水库大坝护坡裂缝、沉降等问题进行维修养护，对石城子渠灌区、都鲁克灌区和沁城灌区渠首、骨干渠道、等计量设施及闸门的维修养护，通过以上措施，有效保障了伊州区水利设施正常运行，为伊州区水利改革发展提供了有效支撑。</w:t>
      </w:r>
    </w:p>
    <w:p>
      <w:pPr>
        <w:pStyle w:val="31"/>
        <w:spacing w:before="0" w:after="0"/>
        <w:ind w:firstLine="643"/>
        <w:rPr>
          <w:rFonts w:hint="eastAsia"/>
          <w:b/>
          <w:bCs w:val="0"/>
        </w:rPr>
      </w:pPr>
      <w:bookmarkStart w:id="15" w:name="_Toc172283523"/>
      <w:r>
        <w:rPr>
          <w:rFonts w:hint="eastAsia"/>
          <w:b/>
          <w:bCs w:val="0"/>
        </w:rPr>
        <w:t>（二）存在的问题</w:t>
      </w:r>
      <w:bookmarkEnd w:id="15"/>
      <w:r>
        <w:rPr>
          <w:rFonts w:hint="eastAsia"/>
          <w:b/>
          <w:bCs w:val="0"/>
        </w:rPr>
        <w:t>及分析</w:t>
      </w:r>
    </w:p>
    <w:p>
      <w:pPr>
        <w:pStyle w:val="26"/>
        <w:ind w:firstLine="643"/>
        <w:rPr>
          <w:rFonts w:hint="eastAsia"/>
          <w:highlight w:val="none"/>
          <w:lang w:val="en-US" w:eastAsia="zh-CN"/>
        </w:rPr>
      </w:pPr>
      <w:r>
        <w:rPr>
          <w:rFonts w:hint="eastAsia"/>
          <w:b/>
          <w:bCs/>
          <w:lang w:val="en-US" w:eastAsia="zh-CN"/>
        </w:rPr>
        <w:t>1</w:t>
      </w:r>
      <w:r>
        <w:rPr>
          <w:b/>
          <w:bCs/>
        </w:rPr>
        <w:t>.</w:t>
      </w:r>
      <w:r>
        <w:rPr>
          <w:rFonts w:hint="eastAsia"/>
          <w:b/>
          <w:bCs/>
          <w:lang w:val="en-US" w:eastAsia="zh-CN"/>
        </w:rPr>
        <w:t>工程建设期限与实施方案不符，效益发挥滞后</w:t>
      </w:r>
      <w:r>
        <w:rPr>
          <w:rFonts w:hint="eastAsia"/>
          <w:b/>
          <w:bCs/>
        </w:rPr>
        <w:t>。</w:t>
      </w:r>
      <w:r>
        <w:rPr>
          <w:rFonts w:hint="eastAsia"/>
          <w:lang w:eastAsia="zh-CN"/>
        </w:rPr>
        <w:t>根据哈密市水利局批复的各项目实施方案，发改部门批复的初步设计及验收报告等资料显示，农村饮用水工程维修养护规划开工时间为2024年3月20日，实际开工时间2024年6月1日。农业水价综合改革维修养护规划开工时间为2024年4月1日，实际开工时间2024年5月10日。小型水库维修养护规划开工时间为2024年3月20日，实际开工时间2024年4月25日，</w:t>
      </w:r>
      <w:r>
        <w:rPr>
          <w:rFonts w:hint="eastAsia"/>
          <w:lang w:val="en-US" w:eastAsia="zh-CN"/>
        </w:rPr>
        <w:t>以上</w:t>
      </w:r>
      <w:r>
        <w:rPr>
          <w:rFonts w:hint="eastAsia"/>
          <w:highlight w:val="none"/>
          <w:lang w:val="en-US" w:eastAsia="zh-CN"/>
        </w:rPr>
        <w:t>3个项目实际开工时间与规划不符。</w:t>
      </w:r>
    </w:p>
    <w:p>
      <w:pPr>
        <w:pStyle w:val="26"/>
        <w:ind w:firstLine="643"/>
        <w:rPr>
          <w:rFonts w:hint="eastAsia"/>
          <w:highlight w:val="none"/>
          <w:lang w:val="en-US" w:eastAsia="zh-CN"/>
        </w:rPr>
      </w:pPr>
      <w:r>
        <w:rPr>
          <w:rFonts w:hint="eastAsia"/>
          <w:highlight w:val="none"/>
          <w:lang w:val="en-US" w:eastAsia="zh-CN"/>
        </w:rPr>
        <w:t>山洪灾害防治非工程措施规划完工日期为2024年5月30日，实际完工日期为2024年7月10日。农村饮用水工程维修养护规划完工日期为2024年6月20日，实际完工日期2024年7月30日。小型水库维修养护规划完工日期为2024年6月20日，实际完工日期2024年8月9日。上述3个项目实际完工时间滞后与规划不符。</w:t>
      </w:r>
    </w:p>
    <w:p>
      <w:pPr>
        <w:pStyle w:val="26"/>
        <w:ind w:firstLine="643"/>
        <w:rPr>
          <w:rFonts w:hint="default"/>
          <w:highlight w:val="none"/>
          <w:lang w:val="en-US" w:eastAsia="zh-CN"/>
        </w:rPr>
      </w:pPr>
      <w:r>
        <w:rPr>
          <w:rFonts w:hint="eastAsia"/>
          <w:b/>
          <w:bCs/>
          <w:lang w:val="en-US" w:eastAsia="zh-CN"/>
        </w:rPr>
        <w:t>2</w:t>
      </w:r>
      <w:r>
        <w:rPr>
          <w:b/>
          <w:bCs/>
        </w:rPr>
        <w:t>.</w:t>
      </w:r>
      <w:r>
        <w:rPr>
          <w:rFonts w:hint="eastAsia"/>
          <w:b/>
          <w:bCs/>
          <w:lang w:val="en-US" w:eastAsia="zh-CN"/>
        </w:rPr>
        <w:t>水利设施设备管理维护制度缺失，设备运行存在风险</w:t>
      </w:r>
      <w:r>
        <w:rPr>
          <w:rFonts w:hint="eastAsia"/>
          <w:b/>
          <w:bCs/>
        </w:rPr>
        <w:t>。</w:t>
      </w:r>
      <w:r>
        <w:rPr>
          <w:rFonts w:hint="eastAsia"/>
          <w:lang w:val="en-US" w:eastAsia="zh-CN"/>
        </w:rPr>
        <w:t>项目相关单位</w:t>
      </w:r>
      <w:r>
        <w:rPr>
          <w:rFonts w:hint="eastAsia"/>
          <w:lang w:eastAsia="zh-CN"/>
        </w:rPr>
        <w:t>水利设施设备管理维护制度</w:t>
      </w:r>
      <w:r>
        <w:rPr>
          <w:rFonts w:hint="eastAsia"/>
          <w:lang w:val="en-US" w:eastAsia="zh-CN"/>
        </w:rPr>
        <w:t>不健全</w:t>
      </w:r>
      <w:r>
        <w:rPr>
          <w:rFonts w:hint="eastAsia"/>
          <w:lang w:eastAsia="zh-CN"/>
        </w:rPr>
        <w:t>，设施设备在运行、养护、应急等环节缺乏规范指引，易引发安全风险、功能衰减等问题</w:t>
      </w:r>
      <w:r>
        <w:rPr>
          <w:rFonts w:hint="eastAsia"/>
          <w:highlight w:val="none"/>
          <w:lang w:val="en-US" w:eastAsia="zh-CN"/>
        </w:rPr>
        <w:t>。具体表现为一是设施设备老化加速，功能衰减风险突出，如水库闸门、泵站机组、灌溉渠道、监测仪器等长期处于露天、潮湿或高负荷运行环境，若缺乏定期维护标准，易出现锈蚀、部件磨损、线路老化等问题。二是缺乏制度规范的“定期检查-隐患整改-责任追溯”流程，容易存在安全隐患，突发事故应对被动，三是因无明确的责任分工制度，设施设备的巡检、养护、维修工作未及时开展，降低水利工程的综合效益。</w:t>
      </w:r>
    </w:p>
    <w:p>
      <w:pPr>
        <w:pStyle w:val="29"/>
        <w:spacing w:before="0" w:after="0"/>
      </w:pPr>
      <w:bookmarkStart w:id="16" w:name="_Toc172283524"/>
      <w:r>
        <w:rPr>
          <w:rFonts w:hint="eastAsia"/>
        </w:rPr>
        <w:t>六、相关建议</w:t>
      </w:r>
      <w:bookmarkEnd w:id="16"/>
    </w:p>
    <w:p>
      <w:pPr>
        <w:pStyle w:val="26"/>
        <w:ind w:firstLine="643"/>
        <w:rPr>
          <w:rFonts w:hint="eastAsia"/>
        </w:rPr>
      </w:pPr>
      <w:r>
        <w:rPr>
          <w:rFonts w:hint="eastAsia"/>
          <w:b/>
          <w:bCs/>
          <w:lang w:val="en-US" w:eastAsia="zh-CN"/>
        </w:rPr>
        <w:t>1</w:t>
      </w:r>
      <w:r>
        <w:rPr>
          <w:b/>
          <w:bCs/>
        </w:rPr>
        <w:t>.</w:t>
      </w:r>
      <w:r>
        <w:rPr>
          <w:rFonts w:hint="eastAsia"/>
          <w:b/>
          <w:bCs/>
        </w:rPr>
        <w:t>积极落实</w:t>
      </w:r>
      <w:r>
        <w:rPr>
          <w:rFonts w:hint="eastAsia"/>
          <w:b/>
          <w:bCs/>
          <w:lang w:val="en-US" w:eastAsia="zh-CN"/>
        </w:rPr>
        <w:t>前期</w:t>
      </w:r>
      <w:r>
        <w:rPr>
          <w:rFonts w:hint="eastAsia"/>
          <w:b/>
          <w:bCs/>
        </w:rPr>
        <w:t>各项规划，保障</w:t>
      </w:r>
      <w:r>
        <w:rPr>
          <w:rFonts w:hint="eastAsia"/>
          <w:b/>
          <w:bCs/>
          <w:lang w:val="en-US" w:eastAsia="zh-CN"/>
        </w:rPr>
        <w:t>项目</w:t>
      </w:r>
      <w:r>
        <w:rPr>
          <w:rFonts w:hint="eastAsia"/>
          <w:b/>
          <w:bCs/>
        </w:rPr>
        <w:t>按计划完成。</w:t>
      </w:r>
      <w:r>
        <w:rPr>
          <w:rFonts w:hint="eastAsia"/>
          <w:lang w:val="en-US" w:eastAsia="zh-CN"/>
        </w:rPr>
        <w:t>一是制定详细的任务计划及时间表，包括时间、地点、参与人员、预算等各个方面，确保每个阶段都有明确的完成时间。二是明确责任及任务分配，将工程建设前期各项手续、工程建设实施阶段分解为具体可执行的任务，并分配给相关执行人员。三是建立有效的沟通机制，确保相关成员之间信息畅通，及时了解任务进展和遇到的问题。四是风险管理，在工程建设阶段，识别可能影响工程按计划完成的潜在风险，对潜在风险制定具体的应对措施和预案，当风险发生时能及时有效解决，以确保工程按计划完成，及时发挥效益</w:t>
      </w:r>
      <w:r>
        <w:rPr>
          <w:rFonts w:hint="eastAsia"/>
        </w:rPr>
        <w:t>。</w:t>
      </w:r>
    </w:p>
    <w:p>
      <w:pPr>
        <w:pStyle w:val="26"/>
        <w:ind w:firstLine="643"/>
        <w:rPr>
          <w:rFonts w:hint="default"/>
          <w:lang w:val="en-US"/>
        </w:rPr>
      </w:pPr>
      <w:r>
        <w:rPr>
          <w:rFonts w:hint="eastAsia"/>
          <w:b/>
          <w:bCs/>
          <w:lang w:val="en-US" w:eastAsia="zh-CN"/>
        </w:rPr>
        <w:t>2</w:t>
      </w:r>
      <w:r>
        <w:rPr>
          <w:b/>
          <w:bCs/>
        </w:rPr>
        <w:t>.</w:t>
      </w:r>
      <w:r>
        <w:rPr>
          <w:rFonts w:hint="eastAsia"/>
          <w:b/>
          <w:bCs/>
          <w:lang w:val="en-US" w:eastAsia="zh-CN"/>
        </w:rPr>
        <w:t>建立健全分级分类管理制度，保障水利工程的综合效益</w:t>
      </w:r>
      <w:r>
        <w:rPr>
          <w:rFonts w:hint="eastAsia"/>
          <w:b/>
          <w:bCs/>
        </w:rPr>
        <w:t>。</w:t>
      </w:r>
      <w:r>
        <w:rPr>
          <w:rFonts w:hint="eastAsia"/>
          <w:lang w:val="en-US" w:eastAsia="zh-CN"/>
        </w:rPr>
        <w:t>一是参照行业规范，按设施类型制定分级分类的管理制度，明确维护标准与周期。二是建立“一套一档”的设备档案制度，为每台（套）关键设备，如泵站机组、监测传感器，建立电子档案，记录出厂参数、安装时间、历次维护记录（含更换部件、故障原因）、检测报告等，通过二维码或物联网系统实现扫码查档案，为养护提供数据支撑。三是明确水利部门，设施使用部门，管理人员三级责任体系，落实责任到岗到人的管理机制，强化流程闭环。四是建立监督考核与奖惩制度，定期对设施使用部门隐患整改完成率、设备完好率、应急响应及时率等维护情况进行考核，确保制度落地，保障水利设施持续安全稳定运行，延长使用寿命，提升水资源管理与保护水平。</w:t>
      </w:r>
    </w:p>
    <w:p>
      <w:pPr>
        <w:pStyle w:val="29"/>
        <w:spacing w:before="0" w:after="0"/>
        <w:ind w:firstLine="420"/>
      </w:pPr>
      <w:bookmarkStart w:id="17" w:name="_Toc172043076"/>
      <w:r>
        <w:rPr>
          <w:rFonts w:hint="eastAsia"/>
        </w:rPr>
        <w:t>七、其他需要说明的问题</w:t>
      </w:r>
      <w:bookmarkEnd w:id="17"/>
    </w:p>
    <w:p>
      <w:pPr>
        <w:pStyle w:val="26"/>
        <w:ind w:firstLine="640"/>
      </w:pPr>
      <w:r>
        <w:rPr>
          <w:rFonts w:hint="eastAsia"/>
        </w:rPr>
        <w:t>建议</w:t>
      </w:r>
      <w:r>
        <w:rPr>
          <w:rFonts w:hint="eastAsia"/>
          <w:lang w:eastAsia="zh-CN"/>
        </w:rPr>
        <w:t>哈密市伊州区水利局</w:t>
      </w:r>
      <w:r>
        <w:rPr>
          <w:rFonts w:hint="eastAsia"/>
        </w:rPr>
        <w:t>根据本次绩效评价报告中所反馈的问题和建议，及时研究制定整改措施，积极落实整改要求，切实改进资金管理和项目管理，并在规定的时间内将整改情况报送哈密市伊州区财政局。</w:t>
      </w:r>
    </w:p>
    <w:p>
      <w:pPr>
        <w:pStyle w:val="52"/>
        <w:jc w:val="center"/>
      </w:pPr>
      <w:r>
        <w:br w:type="page"/>
      </w:r>
      <w:r>
        <w:br w:type="textWrapping"/>
      </w:r>
      <w:r>
        <w:rPr>
          <w:rFonts w:hint="eastAsia"/>
          <w:b/>
          <w:bCs/>
          <w:sz w:val="24"/>
          <w:szCs w:val="24"/>
        </w:rPr>
        <w:t>附  评价组组员表</w:t>
      </w:r>
    </w:p>
    <w:tbl>
      <w:tblPr>
        <w:tblStyle w:val="12"/>
        <w:tblW w:w="8528" w:type="dxa"/>
        <w:jc w:val="center"/>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447"/>
        <w:gridCol w:w="1750"/>
        <w:gridCol w:w="5331"/>
      </w:tblGrid>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15" w:hRule="atLeast"/>
          <w:tblHeader/>
          <w:jc w:val="center"/>
        </w:trPr>
        <w:tc>
          <w:tcPr>
            <w:tcW w:w="1447" w:type="dxa"/>
            <w:vAlign w:val="center"/>
          </w:tcPr>
          <w:p>
            <w:pPr>
              <w:pStyle w:val="39"/>
              <w:jc w:val="center"/>
              <w:rPr>
                <w:b/>
                <w:bCs/>
                <w:sz w:val="21"/>
              </w:rPr>
            </w:pPr>
            <w:r>
              <w:rPr>
                <w:rFonts w:hint="eastAsia"/>
                <w:b/>
                <w:bCs/>
                <w:sz w:val="21"/>
              </w:rPr>
              <w:t>姓名</w:t>
            </w:r>
          </w:p>
        </w:tc>
        <w:tc>
          <w:tcPr>
            <w:tcW w:w="1750" w:type="dxa"/>
            <w:vAlign w:val="center"/>
          </w:tcPr>
          <w:p>
            <w:pPr>
              <w:pStyle w:val="39"/>
              <w:jc w:val="center"/>
              <w:rPr>
                <w:b/>
                <w:bCs/>
                <w:sz w:val="21"/>
              </w:rPr>
            </w:pPr>
            <w:r>
              <w:rPr>
                <w:rFonts w:hint="eastAsia"/>
                <w:b/>
                <w:bCs/>
                <w:sz w:val="21"/>
              </w:rPr>
              <w:t>评价中的角色</w:t>
            </w:r>
          </w:p>
        </w:tc>
        <w:tc>
          <w:tcPr>
            <w:tcW w:w="5331" w:type="dxa"/>
            <w:vAlign w:val="center"/>
          </w:tcPr>
          <w:p>
            <w:pPr>
              <w:pStyle w:val="39"/>
              <w:jc w:val="center"/>
              <w:rPr>
                <w:b/>
                <w:bCs/>
                <w:sz w:val="21"/>
              </w:rPr>
            </w:pPr>
            <w:r>
              <w:rPr>
                <w:rFonts w:hint="eastAsia"/>
                <w:b/>
                <w:bCs/>
                <w:sz w:val="21"/>
              </w:rPr>
              <w:t>工作职责</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73" w:hRule="atLeast"/>
          <w:tblHeader/>
          <w:jc w:val="center"/>
        </w:trPr>
        <w:tc>
          <w:tcPr>
            <w:tcW w:w="1447" w:type="dxa"/>
            <w:vAlign w:val="center"/>
          </w:tcPr>
          <w:p>
            <w:pPr>
              <w:pStyle w:val="39"/>
              <w:jc w:val="center"/>
              <w:rPr>
                <w:rFonts w:hint="eastAsia" w:eastAsia="宋体"/>
                <w:b/>
                <w:sz w:val="21"/>
                <w:lang w:eastAsia="zh-CN"/>
              </w:rPr>
            </w:pPr>
            <w:r>
              <w:rPr>
                <w:rFonts w:hint="eastAsia"/>
                <w:sz w:val="21"/>
                <w:lang w:val="en-US" w:eastAsia="zh-CN"/>
              </w:rPr>
              <w:t>孙浩</w:t>
            </w:r>
          </w:p>
        </w:tc>
        <w:tc>
          <w:tcPr>
            <w:tcW w:w="1750" w:type="dxa"/>
            <w:vAlign w:val="center"/>
          </w:tcPr>
          <w:p>
            <w:pPr>
              <w:pStyle w:val="39"/>
              <w:jc w:val="center"/>
              <w:rPr>
                <w:b/>
                <w:sz w:val="21"/>
              </w:rPr>
            </w:pPr>
            <w:r>
              <w:rPr>
                <w:rFonts w:hint="eastAsia"/>
                <w:sz w:val="21"/>
              </w:rPr>
              <w:t>评价主评人</w:t>
            </w:r>
          </w:p>
        </w:tc>
        <w:tc>
          <w:tcPr>
            <w:tcW w:w="5331" w:type="dxa"/>
            <w:vAlign w:val="center"/>
          </w:tcPr>
          <w:p>
            <w:pPr>
              <w:pStyle w:val="39"/>
              <w:jc w:val="center"/>
              <w:rPr>
                <w:b/>
                <w:sz w:val="21"/>
              </w:rPr>
            </w:pPr>
            <w:r>
              <w:rPr>
                <w:rFonts w:hint="eastAsia"/>
                <w:sz w:val="21"/>
              </w:rPr>
              <w:t>负责本次评价中对部门整体评价的实施统筹、资料收集，整理及数据分析、撰写工作方案及评价报告并对评价报告质量进行把控</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616" w:hRule="atLeast"/>
          <w:jc w:val="center"/>
        </w:trPr>
        <w:tc>
          <w:tcPr>
            <w:tcW w:w="1447" w:type="dxa"/>
            <w:noWrap/>
            <w:vAlign w:val="center"/>
          </w:tcPr>
          <w:p>
            <w:pPr>
              <w:pStyle w:val="39"/>
              <w:jc w:val="center"/>
              <w:rPr>
                <w:sz w:val="21"/>
              </w:rPr>
            </w:pPr>
            <w:r>
              <w:rPr>
                <w:rFonts w:hint="eastAsia"/>
                <w:sz w:val="21"/>
              </w:rPr>
              <w:t>韩昊</w:t>
            </w:r>
          </w:p>
        </w:tc>
        <w:tc>
          <w:tcPr>
            <w:tcW w:w="1750" w:type="dxa"/>
            <w:vMerge w:val="restart"/>
            <w:vAlign w:val="center"/>
          </w:tcPr>
          <w:p>
            <w:pPr>
              <w:pStyle w:val="39"/>
              <w:jc w:val="center"/>
              <w:rPr>
                <w:sz w:val="21"/>
              </w:rPr>
            </w:pPr>
            <w:r>
              <w:rPr>
                <w:rFonts w:hint="eastAsia"/>
                <w:sz w:val="21"/>
              </w:rPr>
              <w:t>执行组员</w:t>
            </w:r>
          </w:p>
        </w:tc>
        <w:tc>
          <w:tcPr>
            <w:tcW w:w="5331" w:type="dxa"/>
            <w:vMerge w:val="restart"/>
            <w:vAlign w:val="center"/>
          </w:tcPr>
          <w:p>
            <w:pPr>
              <w:pStyle w:val="39"/>
              <w:jc w:val="center"/>
              <w:rPr>
                <w:sz w:val="21"/>
              </w:rPr>
            </w:pPr>
            <w:r>
              <w:rPr>
                <w:rFonts w:hint="eastAsia"/>
                <w:sz w:val="21"/>
              </w:rPr>
              <w:t>负责协助与部门单位进行沟通、资料搜集、整理及数据分析等，并协助撰写工作方案及评价报告等工作</w:t>
            </w:r>
          </w:p>
        </w:tc>
      </w:tr>
      <w:tr>
        <w:tblPrEx>
          <w:tblBorders>
            <w:top w:val="single" w:color="000000" w:sz="8" w:space="0"/>
            <w:left w:val="single" w:color="000000" w:sz="8" w:space="0"/>
            <w:bottom w:val="single" w:color="auto" w:sz="4" w:space="0"/>
            <w:right w:val="single" w:color="000000" w:sz="8" w:space="0"/>
            <w:insideH w:val="single" w:color="000000" w:sz="8" w:space="0"/>
            <w:insideV w:val="single" w:color="000000" w:sz="8" w:space="0"/>
          </w:tblBorders>
          <w:tblCellMar>
            <w:top w:w="0" w:type="dxa"/>
            <w:left w:w="108" w:type="dxa"/>
            <w:bottom w:w="0" w:type="dxa"/>
            <w:right w:w="108" w:type="dxa"/>
          </w:tblCellMar>
        </w:tblPrEx>
        <w:trPr>
          <w:cantSplit/>
          <w:trHeight w:val="525" w:hRule="atLeast"/>
          <w:jc w:val="center"/>
        </w:trPr>
        <w:tc>
          <w:tcPr>
            <w:tcW w:w="1447" w:type="dxa"/>
            <w:vAlign w:val="center"/>
          </w:tcPr>
          <w:p>
            <w:pPr>
              <w:widowControl/>
              <w:ind w:firstLine="0" w:firstLineChars="0"/>
              <w:jc w:val="center"/>
              <w:rPr>
                <w:rFonts w:ascii="Times New Roman" w:hAnsi="Times New Roman" w:eastAsia="宋体"/>
              </w:rPr>
            </w:pPr>
            <w:r>
              <w:rPr>
                <w:rFonts w:hint="eastAsia" w:ascii="Times New Roman" w:hAnsi="Times New Roman" w:eastAsia="宋体"/>
              </w:rPr>
              <w:t>婫都孜</w:t>
            </w:r>
          </w:p>
        </w:tc>
        <w:tc>
          <w:tcPr>
            <w:tcW w:w="1750" w:type="dxa"/>
            <w:vMerge w:val="continue"/>
            <w:vAlign w:val="center"/>
          </w:tcPr>
          <w:p>
            <w:pPr>
              <w:pStyle w:val="39"/>
            </w:pPr>
          </w:p>
        </w:tc>
        <w:tc>
          <w:tcPr>
            <w:tcW w:w="5331" w:type="dxa"/>
            <w:vMerge w:val="continue"/>
            <w:vAlign w:val="center"/>
          </w:tcPr>
          <w:p>
            <w:pPr>
              <w:pStyle w:val="39"/>
            </w:pPr>
          </w:p>
        </w:tc>
      </w:tr>
    </w:tbl>
    <w:p>
      <w:pPr>
        <w:widowControl/>
        <w:spacing w:line="240" w:lineRule="auto"/>
        <w:ind w:firstLine="0" w:firstLineChars="0"/>
        <w:rPr>
          <w:rFonts w:ascii="Times New Roman" w:hAnsi="Times New Roman" w:eastAsia="仿宋_GB2312"/>
          <w:sz w:val="32"/>
        </w:rPr>
      </w:pPr>
    </w:p>
    <w:p>
      <w:pPr>
        <w:pStyle w:val="26"/>
        <w:ind w:firstLine="640"/>
      </w:pPr>
      <w:r>
        <w:t>附件1.</w:t>
      </w:r>
      <w:r>
        <w:rPr>
          <w:rFonts w:hint="eastAsia"/>
          <w:lang w:eastAsia="zh-CN"/>
        </w:rPr>
        <w:t>关于提前下达2024年中央水利发展资金</w:t>
      </w:r>
      <w:r>
        <w:t>项目绩效评价指标体系评分表</w:t>
      </w:r>
    </w:p>
    <w:p>
      <w:pPr>
        <w:pStyle w:val="26"/>
        <w:ind w:firstLine="640"/>
        <w:sectPr>
          <w:footerReference r:id="rId17" w:type="default"/>
          <w:pgSz w:w="11906" w:h="16838"/>
          <w:pgMar w:top="2268" w:right="1797" w:bottom="1701" w:left="1797" w:header="851" w:footer="992" w:gutter="0"/>
          <w:pgNumType w:start="1"/>
          <w:cols w:space="425" w:num="1"/>
          <w:docGrid w:type="lines" w:linePitch="312" w:charSpace="0"/>
        </w:sectPr>
      </w:pPr>
    </w:p>
    <w:tbl>
      <w:tblPr>
        <w:tblStyle w:val="12"/>
        <w:tblW w:w="15750" w:type="dxa"/>
        <w:tblInd w:w="-10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20"/>
        <w:gridCol w:w="907"/>
        <w:gridCol w:w="798"/>
        <w:gridCol w:w="605"/>
        <w:gridCol w:w="2153"/>
        <w:gridCol w:w="774"/>
        <w:gridCol w:w="799"/>
        <w:gridCol w:w="3314"/>
        <w:gridCol w:w="4186"/>
        <w:gridCol w:w="581"/>
        <w:gridCol w:w="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trPr>
        <w:tc>
          <w:tcPr>
            <w:tcW w:w="15750" w:type="dxa"/>
            <w:gridSpan w:val="11"/>
            <w:tcBorders>
              <w:top w:val="nil"/>
              <w:left w:val="nil"/>
              <w:bottom w:val="nil"/>
              <w:right w:val="nil"/>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附件一：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1" w:hRule="atLeast"/>
        </w:trPr>
        <w:tc>
          <w:tcPr>
            <w:tcW w:w="92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一级指标</w:t>
            </w:r>
          </w:p>
        </w:tc>
        <w:tc>
          <w:tcPr>
            <w:tcW w:w="90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二级指标</w:t>
            </w:r>
          </w:p>
        </w:tc>
        <w:tc>
          <w:tcPr>
            <w:tcW w:w="79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三级指标</w:t>
            </w:r>
          </w:p>
        </w:tc>
        <w:tc>
          <w:tcPr>
            <w:tcW w:w="60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1" w:firstLineChars="10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权重</w:t>
            </w:r>
          </w:p>
        </w:tc>
        <w:tc>
          <w:tcPr>
            <w:tcW w:w="215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指标解释</w:t>
            </w:r>
          </w:p>
        </w:tc>
        <w:tc>
          <w:tcPr>
            <w:tcW w:w="77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标杆值</w:t>
            </w:r>
          </w:p>
        </w:tc>
        <w:tc>
          <w:tcPr>
            <w:tcW w:w="79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1" w:firstLineChars="10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评分依据</w:t>
            </w:r>
          </w:p>
        </w:tc>
        <w:tc>
          <w:tcPr>
            <w:tcW w:w="3314"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评价标准</w:t>
            </w:r>
          </w:p>
        </w:tc>
        <w:tc>
          <w:tcPr>
            <w:tcW w:w="418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评分过程</w:t>
            </w:r>
          </w:p>
        </w:tc>
        <w:tc>
          <w:tcPr>
            <w:tcW w:w="5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1" w:firstLineChars="10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w:t>
            </w:r>
          </w:p>
        </w:tc>
        <w:tc>
          <w:tcPr>
            <w:tcW w:w="71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1" w:firstLineChars="10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38"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w:t>
            </w:r>
            <w:r>
              <w:rPr>
                <w:rStyle w:val="55"/>
                <w:rFonts w:hAnsi="Times New Roman"/>
                <w:sz w:val="13"/>
                <w:szCs w:val="13"/>
                <w:lang w:val="en-US" w:eastAsia="zh-CN"/>
              </w:rPr>
              <w:t>项目决策（</w:t>
            </w:r>
            <w:r>
              <w:rPr>
                <w:rStyle w:val="54"/>
                <w:rFonts w:eastAsia="等线"/>
                <w:sz w:val="13"/>
                <w:szCs w:val="13"/>
                <w:lang w:val="en-US" w:eastAsia="zh-CN"/>
              </w:rPr>
              <w:t>24</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A1</w:t>
            </w:r>
            <w:r>
              <w:rPr>
                <w:rStyle w:val="55"/>
                <w:rFonts w:hAnsi="Times New Roman"/>
                <w:sz w:val="13"/>
                <w:szCs w:val="13"/>
                <w:lang w:val="en-US" w:eastAsia="zh-CN"/>
              </w:rPr>
              <w:t>项目立项（</w:t>
            </w:r>
            <w:r>
              <w:rPr>
                <w:rStyle w:val="54"/>
                <w:rFonts w:eastAsia="等线"/>
                <w:sz w:val="13"/>
                <w:szCs w:val="13"/>
                <w:lang w:val="en-US" w:eastAsia="zh-CN"/>
              </w:rPr>
              <w:t>6</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A101</w:t>
            </w:r>
            <w:r>
              <w:rPr>
                <w:rStyle w:val="55"/>
                <w:rFonts w:hAnsi="Times New Roman"/>
                <w:sz w:val="13"/>
                <w:szCs w:val="13"/>
                <w:lang w:val="en-US" w:eastAsia="zh-CN"/>
              </w:rPr>
              <w:t>立项依据充分性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考察项目立项的依据文件是否充分是否与国家和地区的战略目标、发展计划以及部门的基本职能和工作计划相适应。</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充分</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①有相关政策依据</w:t>
            </w:r>
            <w:r>
              <w:rPr>
                <w:rStyle w:val="54"/>
                <w:rFonts w:eastAsia="等线"/>
                <w:sz w:val="13"/>
                <w:szCs w:val="13"/>
                <w:lang w:val="en-US" w:eastAsia="zh-CN"/>
              </w:rPr>
              <w:t>(</w:t>
            </w:r>
            <w:r>
              <w:rPr>
                <w:rStyle w:val="55"/>
                <w:rFonts w:hAnsi="Times New Roman"/>
                <w:sz w:val="13"/>
                <w:szCs w:val="13"/>
                <w:lang w:val="en-US" w:eastAsia="zh-CN"/>
              </w:rPr>
              <w:t>国家、省部级或市级政策依据</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②项目与国家和地区的战略目标、发展规划、工作计划相匹配</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③项目与项目单位职责密切相关。</w:t>
            </w:r>
            <w:r>
              <w:rPr>
                <w:rStyle w:val="55"/>
                <w:rFonts w:hAnsi="Times New Roman"/>
                <w:sz w:val="13"/>
                <w:szCs w:val="13"/>
                <w:lang w:val="en-US" w:eastAsia="zh-CN"/>
              </w:rPr>
              <w:br w:type="textWrapping"/>
            </w:r>
            <w:r>
              <w:rPr>
                <w:rStyle w:val="55"/>
                <w:rFonts w:hAnsi="Times New Roman"/>
                <w:sz w:val="13"/>
                <w:szCs w:val="13"/>
                <w:lang w:val="en-US" w:eastAsia="zh-CN"/>
              </w:rPr>
              <w:t>以上三项各占</w:t>
            </w:r>
            <w:r>
              <w:rPr>
                <w:rStyle w:val="54"/>
                <w:rFonts w:eastAsia="等线"/>
                <w:sz w:val="13"/>
                <w:szCs w:val="13"/>
                <w:lang w:val="en-US" w:eastAsia="zh-CN"/>
              </w:rPr>
              <w:t xml:space="preserve"> 1/3</w:t>
            </w:r>
            <w:r>
              <w:rPr>
                <w:rStyle w:val="55"/>
                <w:rFonts w:hAnsi="Times New Roman"/>
                <w:sz w:val="13"/>
                <w:szCs w:val="13"/>
                <w:lang w:val="en-US" w:eastAsia="zh-CN"/>
              </w:rPr>
              <w:t>权重分，符合得该项权重分，不符合</w:t>
            </w:r>
            <w:r>
              <w:rPr>
                <w:rStyle w:val="55"/>
                <w:rFonts w:hint="eastAsia" w:hAnsi="Times New Roman"/>
                <w:sz w:val="13"/>
                <w:szCs w:val="13"/>
                <w:lang w:val="en-US" w:eastAsia="zh-CN"/>
              </w:rPr>
              <w:t>得0分</w:t>
            </w:r>
            <w:r>
              <w:rPr>
                <w:rStyle w:val="55"/>
                <w:rFonts w:hAnsi="Times New Roman"/>
                <w:sz w:val="13"/>
                <w:szCs w:val="13"/>
                <w:lang w:val="en-US" w:eastAsia="zh-CN"/>
              </w:rPr>
              <w:t>。</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项目依据</w:t>
            </w:r>
            <w:r>
              <w:rPr>
                <w:rStyle w:val="55"/>
                <w:rFonts w:hint="eastAsia" w:hAnsi="等线"/>
                <w:sz w:val="13"/>
                <w:szCs w:val="13"/>
                <w:lang w:val="en-US" w:eastAsia="zh-CN"/>
              </w:rPr>
              <w:t>相关</w:t>
            </w:r>
            <w:r>
              <w:rPr>
                <w:rStyle w:val="55"/>
                <w:rFonts w:hAnsi="等线"/>
                <w:sz w:val="13"/>
                <w:szCs w:val="13"/>
                <w:lang w:val="en-US" w:eastAsia="zh-CN"/>
              </w:rPr>
              <w:t>文件立项，项目与上述文件中“支持小型水库除险加固以及雨水情测报、大坝安全监测设施建设，山洪灾害防治，水利工程维修养护等提升水旱灾害防御能力的相关支出；支持中型灌区建设及节水改造，小型水库及小型引调水工程等小型水源工程建设，水资源刚性约束与调度，农业水价综合改革等促进水资源集约节约利用、地下水超采综合治理的相关支出”的要求相匹配，与哈密市伊州区水利局“负责辖区内水利工程建设管理、水资源保护、水旱灾害防御、水利设施与水域管理”的职责密切相关，属于部门履职所需，立项依据充分性较高。综上所述，该指标得</w:t>
            </w:r>
            <w:r>
              <w:rPr>
                <w:rStyle w:val="54"/>
                <w:rFonts w:eastAsia="仿宋_GB2312"/>
                <w:sz w:val="13"/>
                <w:szCs w:val="13"/>
                <w:lang w:val="en-US" w:eastAsia="zh-CN"/>
              </w:rPr>
              <w:t>3</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260" w:firstLineChars="2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66"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A102</w:t>
            </w:r>
            <w:r>
              <w:rPr>
                <w:rStyle w:val="55"/>
                <w:rFonts w:hAnsi="Times New Roman"/>
                <w:sz w:val="13"/>
                <w:szCs w:val="13"/>
                <w:lang w:val="en-US" w:eastAsia="zh-CN"/>
              </w:rPr>
              <w:t>立项程序规范性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项目的申请、设立过程是否符合相关要求，用以反映和考核项目立项的规范情况。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规范</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①立项前是否已经过必要的可行性研究、专家论证、风险评估、集体决策等</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②项目立项是否符合规定程序</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③审批文件和材料是否合规完整。</w:t>
            </w:r>
            <w:r>
              <w:rPr>
                <w:rStyle w:val="55"/>
                <w:rFonts w:hAnsi="Times New Roman"/>
                <w:sz w:val="13"/>
                <w:szCs w:val="13"/>
                <w:lang w:val="en-US" w:eastAsia="zh-CN"/>
              </w:rPr>
              <w:br w:type="textWrapping"/>
            </w:r>
            <w:r>
              <w:rPr>
                <w:rStyle w:val="55"/>
                <w:rFonts w:hAnsi="Times New Roman"/>
                <w:sz w:val="13"/>
                <w:szCs w:val="13"/>
                <w:lang w:val="en-US" w:eastAsia="zh-CN"/>
              </w:rPr>
              <w:t>①②③齐全得权重分的</w:t>
            </w:r>
            <w:r>
              <w:rPr>
                <w:rStyle w:val="54"/>
                <w:rFonts w:eastAsia="等线"/>
                <w:sz w:val="13"/>
                <w:szCs w:val="13"/>
                <w:lang w:val="en-US" w:eastAsia="zh-CN"/>
              </w:rPr>
              <w:t>100%</w:t>
            </w:r>
            <w:r>
              <w:rPr>
                <w:rStyle w:val="55"/>
                <w:rFonts w:hAnsi="Times New Roman"/>
                <w:sz w:val="13"/>
                <w:szCs w:val="13"/>
                <w:lang w:val="en-US" w:eastAsia="zh-CN"/>
              </w:rPr>
              <w:t>，缺①扣权重分的</w:t>
            </w:r>
            <w:r>
              <w:rPr>
                <w:rStyle w:val="54"/>
                <w:rFonts w:eastAsia="等线"/>
                <w:sz w:val="13"/>
                <w:szCs w:val="13"/>
                <w:lang w:val="en-US" w:eastAsia="zh-CN"/>
              </w:rPr>
              <w:t xml:space="preserve"> 40%</w:t>
            </w:r>
            <w:r>
              <w:rPr>
                <w:rStyle w:val="55"/>
                <w:rFonts w:hAnsi="Times New Roman"/>
                <w:sz w:val="13"/>
                <w:szCs w:val="13"/>
                <w:lang w:val="en-US" w:eastAsia="zh-CN"/>
              </w:rPr>
              <w:t>，缺②扣权重分的</w:t>
            </w:r>
            <w:r>
              <w:rPr>
                <w:rStyle w:val="54"/>
                <w:rFonts w:eastAsia="等线"/>
                <w:sz w:val="13"/>
                <w:szCs w:val="13"/>
                <w:lang w:val="en-US" w:eastAsia="zh-CN"/>
              </w:rPr>
              <w:t>30%,</w:t>
            </w:r>
            <w:r>
              <w:rPr>
                <w:rStyle w:val="55"/>
                <w:rFonts w:hAnsi="Times New Roman"/>
                <w:sz w:val="13"/>
                <w:szCs w:val="13"/>
                <w:lang w:val="en-US" w:eastAsia="zh-CN"/>
              </w:rPr>
              <w:t>缺③扣权重分的</w:t>
            </w:r>
            <w:r>
              <w:rPr>
                <w:rStyle w:val="54"/>
                <w:rFonts w:eastAsia="等线"/>
                <w:sz w:val="13"/>
                <w:szCs w:val="13"/>
                <w:lang w:val="en-US" w:eastAsia="zh-CN"/>
              </w:rPr>
              <w:t>30%</w:t>
            </w:r>
            <w:r>
              <w:rPr>
                <w:rStyle w:val="55"/>
                <w:rFonts w:hAnsi="Times New Roman"/>
                <w:sz w:val="13"/>
                <w:szCs w:val="13"/>
                <w:lang w:val="en-US" w:eastAsia="zh-CN"/>
              </w:rPr>
              <w:t>。</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哈密市伊州区水利局根据</w:t>
            </w:r>
            <w:r>
              <w:rPr>
                <w:rStyle w:val="55"/>
                <w:rFonts w:hint="eastAsia" w:hAnsi="等线"/>
                <w:sz w:val="13"/>
                <w:szCs w:val="13"/>
                <w:lang w:val="en-US" w:eastAsia="zh-CN"/>
              </w:rPr>
              <w:t>相关</w:t>
            </w:r>
            <w:r>
              <w:rPr>
                <w:rStyle w:val="55"/>
                <w:rFonts w:hAnsi="等线"/>
                <w:sz w:val="13"/>
                <w:szCs w:val="13"/>
                <w:lang w:val="en-US" w:eastAsia="zh-CN"/>
              </w:rPr>
              <w:t>文件要求，组织编制了各项目实施方案并经哈密市水利局审查批复。地下水超采治理地表水置换地下水工程一期（东郊草场片区）项目建议书、初步设计及概算经哈密市伊州区发展和改革委员会同意并批复，项目立项符合规定程序，立项相关审批文件完整，立项程序规范性较高。综上所述，该指标得</w:t>
            </w:r>
            <w:r>
              <w:rPr>
                <w:rStyle w:val="54"/>
                <w:rFonts w:eastAsia="仿宋_GB2312"/>
                <w:sz w:val="13"/>
                <w:szCs w:val="13"/>
                <w:lang w:val="en-US" w:eastAsia="zh-CN"/>
              </w:rPr>
              <w:t>3</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69"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A2</w:t>
            </w:r>
            <w:r>
              <w:rPr>
                <w:rStyle w:val="55"/>
                <w:rFonts w:hAnsi="Times New Roman"/>
                <w:sz w:val="13"/>
                <w:szCs w:val="13"/>
                <w:lang w:val="en-US" w:eastAsia="zh-CN"/>
              </w:rPr>
              <w:t>绩效目标（</w:t>
            </w:r>
            <w:r>
              <w:rPr>
                <w:rStyle w:val="54"/>
                <w:rFonts w:eastAsia="等线"/>
                <w:sz w:val="13"/>
                <w:szCs w:val="13"/>
                <w:lang w:val="en-US" w:eastAsia="zh-CN"/>
              </w:rPr>
              <w:t>12</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A201</w:t>
            </w:r>
            <w:r>
              <w:rPr>
                <w:rStyle w:val="55"/>
                <w:rFonts w:hAnsi="Times New Roman"/>
                <w:sz w:val="13"/>
                <w:szCs w:val="13"/>
                <w:lang w:val="en-US" w:eastAsia="zh-CN"/>
              </w:rPr>
              <w:t>绩效目标合理性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考察是否设立了项目总目标及年度目标，以及项目年度目标的完整性、明确性、可衡量性、可实现性、相关性。</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合理</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①设立了总目标和年度目标得</w:t>
            </w:r>
            <w:r>
              <w:rPr>
                <w:rStyle w:val="54"/>
                <w:rFonts w:eastAsia="等线"/>
                <w:sz w:val="13"/>
                <w:szCs w:val="13"/>
                <w:lang w:val="en-US" w:eastAsia="zh-CN"/>
              </w:rPr>
              <w:t xml:space="preserve"> 20%</w:t>
            </w:r>
            <w:r>
              <w:rPr>
                <w:rStyle w:val="55"/>
                <w:rFonts w:hAnsi="Times New Roman"/>
                <w:sz w:val="13"/>
                <w:szCs w:val="13"/>
                <w:lang w:val="en-US" w:eastAsia="zh-CN"/>
              </w:rPr>
              <w:t>的权重分</w:t>
            </w:r>
            <w:r>
              <w:rPr>
                <w:rStyle w:val="54"/>
                <w:rFonts w:eastAsia="等线"/>
                <w:sz w:val="13"/>
                <w:szCs w:val="13"/>
                <w:lang w:val="en-US" w:eastAsia="zh-CN"/>
              </w:rPr>
              <w:t>(</w:t>
            </w:r>
            <w:r>
              <w:rPr>
                <w:rStyle w:val="55"/>
                <w:rFonts w:hAnsi="Times New Roman"/>
                <w:sz w:val="13"/>
                <w:szCs w:val="13"/>
                <w:lang w:val="en-US" w:eastAsia="zh-CN"/>
              </w:rPr>
              <w:t>两项各占</w:t>
            </w:r>
            <w:r>
              <w:rPr>
                <w:rStyle w:val="54"/>
                <w:rFonts w:eastAsia="等线"/>
                <w:sz w:val="13"/>
                <w:szCs w:val="13"/>
                <w:lang w:val="en-US" w:eastAsia="zh-CN"/>
              </w:rPr>
              <w:t>10%</w:t>
            </w:r>
            <w:r>
              <w:rPr>
                <w:rStyle w:val="55"/>
                <w:rFonts w:hAnsi="Times New Roman"/>
                <w:sz w:val="13"/>
                <w:szCs w:val="13"/>
                <w:lang w:val="en-US" w:eastAsia="zh-CN"/>
              </w:rPr>
              <w:t>的权重分）；</w:t>
            </w:r>
            <w:r>
              <w:rPr>
                <w:rStyle w:val="55"/>
                <w:rFonts w:hAnsi="Times New Roman"/>
                <w:sz w:val="13"/>
                <w:szCs w:val="13"/>
                <w:lang w:val="en-US" w:eastAsia="zh-CN"/>
              </w:rPr>
              <w:br w:type="textWrapping"/>
            </w:r>
            <w:r>
              <w:rPr>
                <w:rStyle w:val="55"/>
                <w:rFonts w:hAnsi="Times New Roman"/>
                <w:sz w:val="13"/>
                <w:szCs w:val="13"/>
                <w:lang w:val="en-US" w:eastAsia="zh-CN"/>
              </w:rPr>
              <w:t>②再根据项目年度目标是否完整、明确、合理、可衡量、可实现和总目标相关，每符合一项，再得</w:t>
            </w:r>
            <w:r>
              <w:rPr>
                <w:rStyle w:val="54"/>
                <w:rFonts w:eastAsia="等线"/>
                <w:sz w:val="13"/>
                <w:szCs w:val="13"/>
                <w:lang w:val="en-US" w:eastAsia="zh-CN"/>
              </w:rPr>
              <w:t>1/6</w:t>
            </w:r>
            <w:r>
              <w:rPr>
                <w:rStyle w:val="55"/>
                <w:rFonts w:hAnsi="Times New Roman"/>
                <w:sz w:val="13"/>
                <w:szCs w:val="13"/>
                <w:lang w:val="en-US" w:eastAsia="zh-CN"/>
              </w:rPr>
              <w:t>的剩余权重分。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根据单位提供的关于提前下达2024年中央水利发展资金项目绩效目标申报表，本项目已设置总目标与年度绩效目标，年度绩效目标已体现关于提前下达2024年中央水利发展资金计划投入总体规模、工程建设内容以及工程建设后预期产生效益等内容，年度绩效目标明确、可衡量、可实现且和总目标相关。综上所述，该指标得</w:t>
            </w:r>
            <w:r>
              <w:rPr>
                <w:rStyle w:val="54"/>
                <w:rFonts w:eastAsia="仿宋_GB2312"/>
                <w:sz w:val="13"/>
                <w:szCs w:val="13"/>
                <w:lang w:val="en-US" w:eastAsia="zh-CN"/>
              </w:rPr>
              <w:t>6</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A2</w:t>
            </w:r>
            <w:r>
              <w:rPr>
                <w:rStyle w:val="55"/>
                <w:rFonts w:hAnsi="Times New Roman"/>
                <w:sz w:val="13"/>
                <w:szCs w:val="13"/>
                <w:lang w:val="en-US" w:eastAsia="zh-CN"/>
              </w:rPr>
              <w:t>绩效目标（</w:t>
            </w:r>
            <w:r>
              <w:rPr>
                <w:rStyle w:val="54"/>
                <w:rFonts w:eastAsia="等线"/>
                <w:sz w:val="13"/>
                <w:szCs w:val="13"/>
                <w:lang w:val="en-US" w:eastAsia="zh-CN"/>
              </w:rPr>
              <w:t>12</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A202</w:t>
            </w:r>
            <w:r>
              <w:rPr>
                <w:rStyle w:val="55"/>
                <w:rFonts w:hAnsi="Times New Roman"/>
                <w:sz w:val="13"/>
                <w:szCs w:val="13"/>
                <w:lang w:val="en-US" w:eastAsia="zh-CN"/>
              </w:rPr>
              <w:t>绩效指标明确性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依据绩效目标设定的绩效指标是否清晰、细化、可衡量等</w:t>
            </w:r>
            <w:r>
              <w:rPr>
                <w:rStyle w:val="54"/>
                <w:rFonts w:eastAsia="等线"/>
                <w:sz w:val="13"/>
                <w:szCs w:val="13"/>
                <w:lang w:val="en-US" w:eastAsia="zh-CN"/>
              </w:rPr>
              <w:t>,</w:t>
            </w:r>
            <w:r>
              <w:rPr>
                <w:rStyle w:val="55"/>
                <w:rFonts w:hAnsi="Times New Roman"/>
                <w:sz w:val="13"/>
                <w:szCs w:val="13"/>
                <w:lang w:val="en-US" w:eastAsia="zh-CN"/>
              </w:rPr>
              <w:t>用以反</w:t>
            </w:r>
            <w:r>
              <w:rPr>
                <w:rStyle w:val="55"/>
                <w:rFonts w:hint="eastAsia" w:hAnsi="Times New Roman"/>
                <w:sz w:val="13"/>
                <w:szCs w:val="13"/>
                <w:lang w:val="en-US" w:eastAsia="zh-CN"/>
              </w:rPr>
              <w:t>应</w:t>
            </w:r>
            <w:r>
              <w:rPr>
                <w:rStyle w:val="55"/>
                <w:rFonts w:hAnsi="Times New Roman"/>
                <w:sz w:val="13"/>
                <w:szCs w:val="13"/>
                <w:lang w:val="en-US" w:eastAsia="zh-CN"/>
              </w:rPr>
              <w:t>和考核项目绩效目标的明确细化情况。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明确</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①是否将项目绩效目标细化分解为具体的绩效指标，满足得</w:t>
            </w:r>
            <w:r>
              <w:rPr>
                <w:rStyle w:val="54"/>
                <w:rFonts w:eastAsia="等线"/>
                <w:sz w:val="13"/>
                <w:szCs w:val="13"/>
                <w:lang w:val="en-US" w:eastAsia="zh-CN"/>
              </w:rPr>
              <w:t>30%</w:t>
            </w:r>
            <w:r>
              <w:rPr>
                <w:rStyle w:val="55"/>
                <w:rFonts w:hAnsi="Times New Roman"/>
                <w:sz w:val="13"/>
                <w:szCs w:val="13"/>
                <w:lang w:val="en-US" w:eastAsia="zh-CN"/>
              </w:rPr>
              <w:t>权重分，不满足得零分</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②是否通过清晰、可衡量的指标值予以体现，满足得</w:t>
            </w:r>
            <w:r>
              <w:rPr>
                <w:rStyle w:val="54"/>
                <w:rFonts w:eastAsia="等线"/>
                <w:sz w:val="13"/>
                <w:szCs w:val="13"/>
                <w:lang w:val="en-US" w:eastAsia="zh-CN"/>
              </w:rPr>
              <w:t>40%</w:t>
            </w:r>
            <w:r>
              <w:rPr>
                <w:rStyle w:val="55"/>
                <w:rFonts w:hAnsi="Times New Roman"/>
                <w:sz w:val="13"/>
                <w:szCs w:val="13"/>
                <w:lang w:val="en-US" w:eastAsia="zh-CN"/>
              </w:rPr>
              <w:t>权重分</w:t>
            </w:r>
            <w:r>
              <w:rPr>
                <w:rStyle w:val="54"/>
                <w:rFonts w:eastAsia="等线"/>
                <w:sz w:val="13"/>
                <w:szCs w:val="13"/>
                <w:lang w:val="en-US" w:eastAsia="zh-CN"/>
              </w:rPr>
              <w:t>,</w:t>
            </w:r>
            <w:r>
              <w:rPr>
                <w:rStyle w:val="55"/>
                <w:rFonts w:hAnsi="Times New Roman"/>
                <w:sz w:val="13"/>
                <w:szCs w:val="13"/>
                <w:lang w:val="en-US" w:eastAsia="zh-CN"/>
              </w:rPr>
              <w:t>不满足得零分</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③是否与项目目标任务数或计划数相对应，满足得</w:t>
            </w:r>
            <w:r>
              <w:rPr>
                <w:rStyle w:val="54"/>
                <w:rFonts w:eastAsia="等线"/>
                <w:sz w:val="13"/>
                <w:szCs w:val="13"/>
                <w:lang w:val="en-US" w:eastAsia="zh-CN"/>
              </w:rPr>
              <w:t>30%</w:t>
            </w:r>
            <w:r>
              <w:rPr>
                <w:rStyle w:val="55"/>
                <w:rFonts w:hAnsi="Times New Roman"/>
                <w:sz w:val="13"/>
                <w:szCs w:val="13"/>
                <w:lang w:val="en-US" w:eastAsia="zh-CN"/>
              </w:rPr>
              <w:t>权重分，不满足得零分。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根据单位提供的关于提前下达2024年中央水利发展资金项目绩效目标申报表，哈密市伊州区水利局已将项目绩效目标细化分解为数量、质量、时效、经济成本、社会效益、满意度等具体的绩效指标，产出指标与项目实施内容相关，与项目目标计划数对应的问题，预期产出效益符合正常业绩水平，与预算确定的项目投资额匹配。综上所述，该指标得</w:t>
            </w:r>
            <w:r>
              <w:rPr>
                <w:rStyle w:val="54"/>
                <w:rFonts w:eastAsia="仿宋_GB2312"/>
                <w:sz w:val="13"/>
                <w:szCs w:val="13"/>
                <w:lang w:val="en-US" w:eastAsia="zh-CN"/>
              </w:rPr>
              <w:t>6</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1"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w:t>
            </w:r>
            <w:r>
              <w:rPr>
                <w:rStyle w:val="55"/>
                <w:rFonts w:hAnsi="Times New Roman"/>
                <w:sz w:val="13"/>
                <w:szCs w:val="13"/>
                <w:lang w:val="en-US" w:eastAsia="zh-CN"/>
              </w:rPr>
              <w:t>项目决策（</w:t>
            </w:r>
            <w:r>
              <w:rPr>
                <w:rStyle w:val="54"/>
                <w:rFonts w:eastAsia="等线"/>
                <w:sz w:val="13"/>
                <w:szCs w:val="13"/>
                <w:lang w:val="en-US" w:eastAsia="zh-CN"/>
              </w:rPr>
              <w:t>24</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A3</w:t>
            </w:r>
            <w:r>
              <w:rPr>
                <w:rStyle w:val="55"/>
                <w:rFonts w:hAnsi="Times New Roman"/>
                <w:sz w:val="13"/>
                <w:szCs w:val="13"/>
                <w:lang w:val="en-US" w:eastAsia="zh-CN"/>
              </w:rPr>
              <w:t>资金投入（</w:t>
            </w:r>
            <w:r>
              <w:rPr>
                <w:rStyle w:val="54"/>
                <w:rFonts w:eastAsia="等线"/>
                <w:sz w:val="13"/>
                <w:szCs w:val="13"/>
                <w:lang w:val="en-US" w:eastAsia="zh-CN"/>
              </w:rPr>
              <w:t>6</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A301</w:t>
            </w:r>
            <w:r>
              <w:rPr>
                <w:rStyle w:val="55"/>
                <w:rFonts w:hAnsi="Times New Roman"/>
                <w:sz w:val="13"/>
                <w:szCs w:val="13"/>
                <w:lang w:val="en-US" w:eastAsia="zh-CN"/>
              </w:rPr>
              <w:t>预算编制科学性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考察预算编制是否科学、合理，是否存在明显不合理之处。</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科学</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①预算编制依据是否充分、合理</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②预算编制是否细化。</w:t>
            </w:r>
            <w:r>
              <w:rPr>
                <w:rStyle w:val="55"/>
                <w:rFonts w:hAnsi="Times New Roman"/>
                <w:sz w:val="13"/>
                <w:szCs w:val="13"/>
                <w:lang w:val="en-US" w:eastAsia="zh-CN"/>
              </w:rPr>
              <w:br w:type="textWrapping"/>
            </w:r>
            <w:r>
              <w:rPr>
                <w:rStyle w:val="55"/>
                <w:rFonts w:hAnsi="Times New Roman"/>
                <w:sz w:val="13"/>
                <w:szCs w:val="13"/>
                <w:lang w:val="en-US" w:eastAsia="zh-CN"/>
              </w:rPr>
              <w:t>以上两项各占</w:t>
            </w:r>
            <w:r>
              <w:rPr>
                <w:rStyle w:val="54"/>
                <w:rFonts w:eastAsia="等线"/>
                <w:sz w:val="13"/>
                <w:szCs w:val="13"/>
                <w:lang w:val="en-US" w:eastAsia="zh-CN"/>
              </w:rPr>
              <w:t xml:space="preserve"> 50%</w:t>
            </w:r>
            <w:r>
              <w:rPr>
                <w:rStyle w:val="55"/>
                <w:rFonts w:hAnsi="Times New Roman"/>
                <w:sz w:val="13"/>
                <w:szCs w:val="13"/>
                <w:lang w:val="en-US" w:eastAsia="zh-CN"/>
              </w:rPr>
              <w:t>的权重分，满足得分，否则扣除对应分值。</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山洪灾害防治（群测群防体系建设）、山洪灾害防治维修养护、农村饮水工程维修养护、小型水库维修养护、农业水价综合改革、地下水超采治理均按照工程量及单价进行测算，项目预算编制依据充分合理、细化程度较高，本项目预算编制科学性较强。综上所述，该指标分值3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12"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A302</w:t>
            </w:r>
            <w:r>
              <w:rPr>
                <w:rStyle w:val="55"/>
                <w:rFonts w:hAnsi="Times New Roman"/>
                <w:sz w:val="13"/>
                <w:szCs w:val="13"/>
                <w:lang w:val="en-US" w:eastAsia="zh-CN"/>
              </w:rPr>
              <w:t>资金分配合理性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考察项目资金分配是否合理。</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合理</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①预算资金分配依据是否充分</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②资金分配额度是否合理，与项目单位或地方实际是否相适应。以上两项各占</w:t>
            </w:r>
            <w:r>
              <w:rPr>
                <w:rStyle w:val="54"/>
                <w:rFonts w:eastAsia="等线"/>
                <w:sz w:val="13"/>
                <w:szCs w:val="13"/>
                <w:lang w:val="en-US" w:eastAsia="zh-CN"/>
              </w:rPr>
              <w:t xml:space="preserve"> 50%</w:t>
            </w:r>
            <w:r>
              <w:rPr>
                <w:rStyle w:val="55"/>
                <w:rFonts w:hAnsi="Times New Roman"/>
                <w:sz w:val="13"/>
                <w:szCs w:val="13"/>
                <w:lang w:val="en-US" w:eastAsia="zh-CN"/>
              </w:rPr>
              <w:t>的权重分，满足得分，否则扣除对应分值。</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项目依据</w:t>
            </w:r>
            <w:r>
              <w:rPr>
                <w:rStyle w:val="55"/>
                <w:rFonts w:hint="eastAsia" w:hAnsi="等线"/>
                <w:sz w:val="13"/>
                <w:szCs w:val="13"/>
                <w:lang w:val="en-US" w:eastAsia="zh-CN"/>
              </w:rPr>
              <w:t>相关</w:t>
            </w:r>
            <w:r>
              <w:rPr>
                <w:rStyle w:val="55"/>
                <w:rFonts w:hAnsi="等线"/>
                <w:sz w:val="13"/>
                <w:szCs w:val="13"/>
                <w:lang w:val="en-US" w:eastAsia="zh-CN"/>
              </w:rPr>
              <w:t>文件</w:t>
            </w:r>
            <w:r>
              <w:rPr>
                <w:rFonts w:hint="eastAsia" w:ascii="仿宋_GB2312" w:hAnsi="等线" w:eastAsia="仿宋_GB2312" w:cs="仿宋_GB2312"/>
                <w:i w:val="0"/>
                <w:color w:val="000000"/>
                <w:kern w:val="0"/>
                <w:sz w:val="13"/>
                <w:szCs w:val="13"/>
                <w:u w:val="none"/>
                <w:lang w:val="en-US" w:eastAsia="zh-CN"/>
              </w:rPr>
              <w:t>所附提前下达 2024年中央水利发展资金分配表进行分配，项目实施单位实际分配额度与2024年中央水利发展资金政策落实所需资金额度匹配，本项目资金分配合理性较高。综上所述，该指标分值3分。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3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w:t>
            </w:r>
            <w:r>
              <w:rPr>
                <w:rStyle w:val="55"/>
                <w:rFonts w:hAnsi="Times New Roman"/>
                <w:sz w:val="13"/>
                <w:szCs w:val="13"/>
                <w:lang w:val="en-US" w:eastAsia="zh-CN"/>
              </w:rPr>
              <w:t>项目过程（</w:t>
            </w:r>
            <w:r>
              <w:rPr>
                <w:rStyle w:val="54"/>
                <w:rFonts w:eastAsia="等线"/>
                <w:sz w:val="13"/>
                <w:szCs w:val="13"/>
                <w:lang w:val="en-US" w:eastAsia="zh-CN"/>
              </w:rPr>
              <w:t>16</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B1</w:t>
            </w:r>
            <w:r>
              <w:rPr>
                <w:rStyle w:val="55"/>
                <w:rFonts w:hAnsi="Times New Roman"/>
                <w:sz w:val="13"/>
                <w:szCs w:val="13"/>
                <w:lang w:val="en-US" w:eastAsia="zh-CN"/>
              </w:rPr>
              <w:t>资金管理（</w:t>
            </w:r>
            <w:r>
              <w:rPr>
                <w:rStyle w:val="54"/>
                <w:rFonts w:eastAsia="等线"/>
                <w:sz w:val="13"/>
                <w:szCs w:val="13"/>
                <w:lang w:val="en-US" w:eastAsia="zh-CN"/>
              </w:rPr>
              <w:t>12</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B101</w:t>
            </w:r>
            <w:r>
              <w:rPr>
                <w:rStyle w:val="55"/>
                <w:rFonts w:hAnsi="Times New Roman"/>
                <w:sz w:val="13"/>
                <w:szCs w:val="13"/>
                <w:lang w:val="en-US" w:eastAsia="zh-CN"/>
              </w:rPr>
              <w:t>资金到位率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反映项目预算资金的实际到位情况</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资金到位率</w:t>
            </w:r>
            <w:r>
              <w:rPr>
                <w:rStyle w:val="54"/>
                <w:rFonts w:eastAsia="等线"/>
                <w:sz w:val="13"/>
                <w:szCs w:val="13"/>
                <w:lang w:val="en-US" w:eastAsia="zh-CN"/>
              </w:rPr>
              <w:t>=</w:t>
            </w:r>
            <w:r>
              <w:rPr>
                <w:rStyle w:val="55"/>
                <w:rFonts w:hAnsi="Times New Roman"/>
                <w:sz w:val="13"/>
                <w:szCs w:val="13"/>
                <w:lang w:val="en-US" w:eastAsia="zh-CN"/>
              </w:rPr>
              <w:t>实际到位金额</w:t>
            </w:r>
            <w:r>
              <w:rPr>
                <w:rStyle w:val="54"/>
                <w:rFonts w:eastAsia="等线"/>
                <w:sz w:val="13"/>
                <w:szCs w:val="13"/>
                <w:lang w:val="en-US" w:eastAsia="zh-CN"/>
              </w:rPr>
              <w:t>/</w:t>
            </w:r>
            <w:r>
              <w:rPr>
                <w:rStyle w:val="55"/>
                <w:rFonts w:hAnsi="Times New Roman"/>
                <w:sz w:val="13"/>
                <w:szCs w:val="13"/>
                <w:lang w:val="en-US" w:eastAsia="zh-CN"/>
              </w:rPr>
              <w:t>预算批复金额</w:t>
            </w:r>
            <w:r>
              <w:rPr>
                <w:rStyle w:val="54"/>
                <w:rFonts w:eastAsia="等线"/>
                <w:sz w:val="13"/>
                <w:szCs w:val="13"/>
                <w:lang w:val="en-US" w:eastAsia="zh-CN"/>
              </w:rPr>
              <w:t>×100%</w:t>
            </w:r>
            <w:r>
              <w:rPr>
                <w:rStyle w:val="55"/>
                <w:rFonts w:hAnsi="Times New Roman"/>
                <w:sz w:val="13"/>
                <w:szCs w:val="13"/>
                <w:lang w:val="en-US" w:eastAsia="zh-CN"/>
              </w:rPr>
              <w:t>。</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资金到位率达</w:t>
            </w:r>
            <w:r>
              <w:rPr>
                <w:rStyle w:val="54"/>
                <w:rFonts w:eastAsia="等线"/>
                <w:sz w:val="13"/>
                <w:szCs w:val="13"/>
                <w:lang w:val="en-US" w:eastAsia="zh-CN"/>
              </w:rPr>
              <w:t>100%</w:t>
            </w:r>
            <w:r>
              <w:rPr>
                <w:rStyle w:val="55"/>
                <w:rFonts w:hAnsi="Times New Roman"/>
                <w:sz w:val="13"/>
                <w:szCs w:val="13"/>
                <w:lang w:val="en-US" w:eastAsia="zh-CN"/>
              </w:rPr>
              <w:t>则得满分</w:t>
            </w:r>
            <w:r>
              <w:rPr>
                <w:rStyle w:val="54"/>
                <w:rFonts w:eastAsia="等线"/>
                <w:sz w:val="13"/>
                <w:szCs w:val="13"/>
                <w:lang w:val="en-US" w:eastAsia="zh-CN"/>
              </w:rPr>
              <w:t>,</w:t>
            </w:r>
            <w:r>
              <w:rPr>
                <w:rStyle w:val="55"/>
                <w:rFonts w:hAnsi="Times New Roman"/>
                <w:sz w:val="13"/>
                <w:szCs w:val="13"/>
                <w:lang w:val="en-US" w:eastAsia="zh-CN"/>
              </w:rPr>
              <w:t>低于则每降低</w:t>
            </w:r>
            <w:r>
              <w:rPr>
                <w:rStyle w:val="54"/>
                <w:rFonts w:eastAsia="等线"/>
                <w:sz w:val="13"/>
                <w:szCs w:val="13"/>
                <w:lang w:val="en-US" w:eastAsia="zh-CN"/>
              </w:rPr>
              <w:t>1%</w:t>
            </w:r>
            <w:r>
              <w:rPr>
                <w:rStyle w:val="55"/>
                <w:rFonts w:hAnsi="Times New Roman"/>
                <w:sz w:val="13"/>
                <w:szCs w:val="13"/>
                <w:lang w:val="en-US" w:eastAsia="zh-CN"/>
              </w:rPr>
              <w:t>扣相应权重的</w:t>
            </w:r>
            <w:r>
              <w:rPr>
                <w:rStyle w:val="54"/>
                <w:rFonts w:eastAsia="等线"/>
                <w:sz w:val="13"/>
                <w:szCs w:val="13"/>
                <w:lang w:val="en-US" w:eastAsia="zh-CN"/>
              </w:rPr>
              <w:t>5%</w:t>
            </w:r>
            <w:r>
              <w:rPr>
                <w:rStyle w:val="55"/>
                <w:rFonts w:hAnsi="Times New Roman"/>
                <w:sz w:val="13"/>
                <w:szCs w:val="13"/>
                <w:lang w:val="en-US" w:eastAsia="zh-CN"/>
              </w:rPr>
              <w:t>，扣完为止。</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关于提前下达2024年中央水利发展资金项目全年预算金额为2682.50万元，根据哈密市财政局下达</w:t>
            </w:r>
            <w:r>
              <w:rPr>
                <w:rStyle w:val="55"/>
                <w:rFonts w:hint="eastAsia" w:hAnsi="等线"/>
                <w:sz w:val="13"/>
                <w:szCs w:val="13"/>
                <w:lang w:val="en-US" w:eastAsia="zh-CN"/>
              </w:rPr>
              <w:t>相关</w:t>
            </w:r>
            <w:r>
              <w:rPr>
                <w:rStyle w:val="55"/>
                <w:rFonts w:hAnsi="等线"/>
                <w:sz w:val="13"/>
                <w:szCs w:val="13"/>
                <w:lang w:val="en-US" w:eastAsia="zh-CN"/>
              </w:rPr>
              <w:t>文件</w:t>
            </w:r>
            <w:r>
              <w:rPr>
                <w:rFonts w:hint="eastAsia" w:ascii="仿宋_GB2312" w:hAnsi="等线" w:eastAsia="仿宋_GB2312" w:cs="仿宋_GB2312"/>
                <w:i w:val="0"/>
                <w:color w:val="000000"/>
                <w:kern w:val="0"/>
                <w:sz w:val="13"/>
                <w:szCs w:val="13"/>
                <w:u w:val="none"/>
                <w:lang w:val="en-US" w:eastAsia="zh-CN"/>
              </w:rPr>
              <w:t>与预算管理一体化平台本项目预算指标执行情况查询结果，截至2024年12月31日，本项目实际到位资金为2682.50万元，资金到位率为100%。综上所述，该指标分值4分。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57"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B102</w:t>
            </w:r>
            <w:r>
              <w:rPr>
                <w:rStyle w:val="55"/>
                <w:rFonts w:hAnsi="Times New Roman"/>
                <w:sz w:val="13"/>
                <w:szCs w:val="13"/>
                <w:lang w:val="en-US" w:eastAsia="zh-CN"/>
              </w:rPr>
              <w:t>预算执行率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反映项目预算资金的实际执行情况</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预算执行率</w:t>
            </w:r>
            <w:r>
              <w:rPr>
                <w:rStyle w:val="54"/>
                <w:rFonts w:eastAsia="等线"/>
                <w:sz w:val="13"/>
                <w:szCs w:val="13"/>
                <w:lang w:val="en-US" w:eastAsia="zh-CN"/>
              </w:rPr>
              <w:t>=</w:t>
            </w:r>
            <w:r>
              <w:rPr>
                <w:rStyle w:val="55"/>
                <w:rFonts w:hAnsi="Times New Roman"/>
                <w:sz w:val="13"/>
                <w:szCs w:val="13"/>
                <w:lang w:val="en-US" w:eastAsia="zh-CN"/>
              </w:rPr>
              <w:t>实际支出金额</w:t>
            </w:r>
            <w:r>
              <w:rPr>
                <w:rStyle w:val="54"/>
                <w:rFonts w:eastAsia="等线"/>
                <w:sz w:val="13"/>
                <w:szCs w:val="13"/>
                <w:lang w:val="en-US" w:eastAsia="zh-CN"/>
              </w:rPr>
              <w:t>/</w:t>
            </w:r>
            <w:r>
              <w:rPr>
                <w:rStyle w:val="55"/>
                <w:rFonts w:hAnsi="Times New Roman"/>
                <w:sz w:val="13"/>
                <w:szCs w:val="13"/>
                <w:lang w:val="en-US" w:eastAsia="zh-CN"/>
              </w:rPr>
              <w:t>实际到位金额</w:t>
            </w:r>
            <w:r>
              <w:rPr>
                <w:rStyle w:val="54"/>
                <w:rFonts w:eastAsia="等线"/>
                <w:sz w:val="13"/>
                <w:szCs w:val="13"/>
                <w:lang w:val="en-US" w:eastAsia="zh-CN"/>
              </w:rPr>
              <w:t>×100%</w:t>
            </w:r>
            <w:r>
              <w:rPr>
                <w:rStyle w:val="55"/>
                <w:rFonts w:hAnsi="Times New Roman"/>
                <w:sz w:val="13"/>
                <w:szCs w:val="13"/>
                <w:lang w:val="en-US" w:eastAsia="zh-CN"/>
              </w:rPr>
              <w:t>。</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预算执行率达</w:t>
            </w:r>
            <w:r>
              <w:rPr>
                <w:rStyle w:val="54"/>
                <w:rFonts w:eastAsia="等线"/>
                <w:sz w:val="13"/>
                <w:szCs w:val="13"/>
                <w:lang w:val="en-US" w:eastAsia="zh-CN"/>
              </w:rPr>
              <w:t>100%</w:t>
            </w:r>
            <w:r>
              <w:rPr>
                <w:rStyle w:val="55"/>
                <w:rFonts w:hAnsi="Times New Roman"/>
                <w:sz w:val="13"/>
                <w:szCs w:val="13"/>
                <w:lang w:val="en-US" w:eastAsia="zh-CN"/>
              </w:rPr>
              <w:t>则得满分</w:t>
            </w:r>
            <w:r>
              <w:rPr>
                <w:rStyle w:val="54"/>
                <w:rFonts w:eastAsia="等线"/>
                <w:sz w:val="13"/>
                <w:szCs w:val="13"/>
                <w:lang w:val="en-US" w:eastAsia="zh-CN"/>
              </w:rPr>
              <w:t>,</w:t>
            </w:r>
            <w:r>
              <w:rPr>
                <w:rStyle w:val="55"/>
                <w:rFonts w:hAnsi="Times New Roman"/>
                <w:sz w:val="13"/>
                <w:szCs w:val="13"/>
                <w:lang w:val="en-US" w:eastAsia="zh-CN"/>
              </w:rPr>
              <w:t>未达到则按照预算执行率乘以权重分值计算得分。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关于提前下达2024年中央水利发展资金项目实际到位资金为2682.50万元。根据哈密市伊州区水利局所提供本项目国库集中支付凭证，截至2024年12月31日，本项目实际支出2251.48万元，项目预算执行率为83.93%。综上所述，该指标得</w:t>
            </w:r>
            <w:r>
              <w:rPr>
                <w:rStyle w:val="54"/>
                <w:rFonts w:eastAsia="仿宋_GB2312"/>
                <w:sz w:val="13"/>
                <w:szCs w:val="13"/>
                <w:lang w:val="en-US" w:eastAsia="zh-CN"/>
              </w:rPr>
              <w:t>3.36</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3.36</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18"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B1</w:t>
            </w:r>
            <w:r>
              <w:rPr>
                <w:rStyle w:val="55"/>
                <w:rFonts w:hAnsi="Times New Roman"/>
                <w:sz w:val="13"/>
                <w:szCs w:val="13"/>
                <w:lang w:val="en-US" w:eastAsia="zh-CN"/>
              </w:rPr>
              <w:t>资金管理（</w:t>
            </w:r>
            <w:r>
              <w:rPr>
                <w:rStyle w:val="54"/>
                <w:rFonts w:eastAsia="等线"/>
                <w:sz w:val="13"/>
                <w:szCs w:val="13"/>
                <w:lang w:val="en-US" w:eastAsia="zh-CN"/>
              </w:rPr>
              <w:t>12</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B103</w:t>
            </w:r>
            <w:r>
              <w:rPr>
                <w:rStyle w:val="55"/>
                <w:rFonts w:hAnsi="Times New Roman"/>
                <w:sz w:val="13"/>
                <w:szCs w:val="13"/>
                <w:lang w:val="en-US" w:eastAsia="zh-CN"/>
              </w:rPr>
              <w:t>资金使用合规性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反映项目资金使用是否合规。</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合规</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资金使用合规得满分，不合规得零分。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根据哈密市伊州区水利局所提供本项目相关发票、资金支付审批表、资金发放调度表、国库集中支付凭证、工程结算审核报告，本项目资金全部用于哈密市伊州区2024年水利发展工作，项目资金拨付履行了完整的审批程序和手续，项目资金支出符合预算批复规定用途且不存在资金截留、挤占、挪用、虚列支出等情况，项目资金使用合规。综上所述，该指标得</w:t>
            </w:r>
            <w:r>
              <w:rPr>
                <w:rStyle w:val="54"/>
                <w:rFonts w:eastAsia="仿宋_GB2312"/>
                <w:sz w:val="13"/>
                <w:szCs w:val="13"/>
                <w:lang w:val="en-US" w:eastAsia="zh-CN"/>
              </w:rPr>
              <w:t>4</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8"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B2</w:t>
            </w:r>
            <w:r>
              <w:rPr>
                <w:rStyle w:val="55"/>
                <w:rFonts w:hAnsi="Times New Roman"/>
                <w:sz w:val="13"/>
                <w:szCs w:val="13"/>
                <w:lang w:val="en-US" w:eastAsia="zh-CN"/>
              </w:rPr>
              <w:t>组织实施（</w:t>
            </w:r>
            <w:r>
              <w:rPr>
                <w:rStyle w:val="54"/>
                <w:rFonts w:eastAsia="等线"/>
                <w:sz w:val="13"/>
                <w:szCs w:val="13"/>
                <w:lang w:val="en-US" w:eastAsia="zh-CN"/>
              </w:rPr>
              <w:t>4</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6"/>
                <w:rFonts w:eastAsia="等线"/>
                <w:sz w:val="13"/>
                <w:szCs w:val="13"/>
                <w:lang w:val="en-US" w:eastAsia="zh-CN"/>
              </w:rPr>
              <w:t>B201</w:t>
            </w:r>
            <w:r>
              <w:rPr>
                <w:rStyle w:val="57"/>
                <w:rFonts w:hAnsi="Times New Roman"/>
                <w:sz w:val="13"/>
                <w:szCs w:val="13"/>
                <w:lang w:val="en-US" w:eastAsia="zh-CN"/>
              </w:rPr>
              <w:t>管理制度健全性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项目实施单位的业务管理制度是否健全，用以反映和考核业务管理制度对项目顺利实施的保障情况。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健全</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①是否已制定或具有相应的财务和业务管理制度</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②财务和业务管理制度是否合法、合规、完整。</w:t>
            </w:r>
            <w:r>
              <w:rPr>
                <w:rStyle w:val="55"/>
                <w:rFonts w:hAnsi="Times New Roman"/>
                <w:sz w:val="13"/>
                <w:szCs w:val="13"/>
                <w:lang w:val="en-US" w:eastAsia="zh-CN"/>
              </w:rPr>
              <w:br w:type="textWrapping"/>
            </w:r>
            <w:r>
              <w:rPr>
                <w:rStyle w:val="55"/>
                <w:rFonts w:hAnsi="Times New Roman"/>
                <w:sz w:val="13"/>
                <w:szCs w:val="13"/>
                <w:lang w:val="en-US" w:eastAsia="zh-CN"/>
              </w:rPr>
              <w:t>以上两项各占</w:t>
            </w:r>
            <w:r>
              <w:rPr>
                <w:rStyle w:val="54"/>
                <w:rFonts w:eastAsia="等线"/>
                <w:sz w:val="13"/>
                <w:szCs w:val="13"/>
                <w:lang w:val="en-US" w:eastAsia="zh-CN"/>
              </w:rPr>
              <w:t>50%</w:t>
            </w:r>
            <w:r>
              <w:rPr>
                <w:rStyle w:val="55"/>
                <w:rFonts w:hAnsi="Times New Roman"/>
                <w:sz w:val="13"/>
                <w:szCs w:val="13"/>
                <w:lang w:val="en-US" w:eastAsia="zh-CN"/>
              </w:rPr>
              <w:t>的权重分，满足得分，否则扣除对应分值。</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哈密市伊州区水利局作为本项目实施单位，已制定单位财务管理制度和本项目年度实施方案，其中：财务管理制度明确了单位预算管理、收支管理、采购管理工作等方面相关要求，项目年度实施方案已明确项目工作目标与任务、责任主体与工作流程、工作方案与实施进度安排及验收要求等方面内容，但单位未建立相关水利设施设备管理维护制度，设施设备在运行、养护、应急等环节缺乏规范指引，易引发安全风险、功能衰减、资源浪费等问题，项目制度健全性和完整性有待提高。综上所述，该指标分值2分，根据评分标准得1分，得分率50%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05" w:hRule="atLeast"/>
        </w:trPr>
        <w:tc>
          <w:tcPr>
            <w:tcW w:w="9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w:t>
            </w:r>
            <w:r>
              <w:rPr>
                <w:rStyle w:val="58"/>
                <w:sz w:val="13"/>
                <w:szCs w:val="13"/>
                <w:lang w:val="en-US" w:eastAsia="zh-CN"/>
              </w:rPr>
              <w:t>项目过程（</w:t>
            </w:r>
            <w:r>
              <w:rPr>
                <w:rStyle w:val="54"/>
                <w:rFonts w:eastAsia="等线"/>
                <w:sz w:val="13"/>
                <w:szCs w:val="13"/>
                <w:lang w:val="en-US" w:eastAsia="zh-CN"/>
              </w:rPr>
              <w:t>16</w:t>
            </w:r>
            <w:r>
              <w:rPr>
                <w:rStyle w:val="58"/>
                <w:sz w:val="13"/>
                <w:szCs w:val="13"/>
                <w:lang w:val="en-US" w:eastAsia="zh-CN"/>
              </w:rPr>
              <w:t>）</w:t>
            </w: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B2</w:t>
            </w:r>
            <w:r>
              <w:rPr>
                <w:rStyle w:val="55"/>
                <w:rFonts w:hAnsi="Times New Roman"/>
                <w:sz w:val="13"/>
                <w:szCs w:val="13"/>
                <w:lang w:val="en-US" w:eastAsia="zh-CN"/>
              </w:rPr>
              <w:t>组织实施（</w:t>
            </w:r>
            <w:r>
              <w:rPr>
                <w:rStyle w:val="54"/>
                <w:rFonts w:eastAsia="等线"/>
                <w:sz w:val="13"/>
                <w:szCs w:val="13"/>
                <w:lang w:val="en-US" w:eastAsia="zh-CN"/>
              </w:rPr>
              <w:t>4</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B202</w:t>
            </w:r>
            <w:r>
              <w:rPr>
                <w:rStyle w:val="55"/>
                <w:rFonts w:hAnsi="Times New Roman"/>
                <w:sz w:val="13"/>
                <w:szCs w:val="13"/>
                <w:lang w:val="en-US" w:eastAsia="zh-CN"/>
              </w:rPr>
              <w:t>制度执行有效性</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项目实施是否符合相关业务管理规定</w:t>
            </w:r>
            <w:r>
              <w:rPr>
                <w:rStyle w:val="54"/>
                <w:rFonts w:eastAsia="等线"/>
                <w:sz w:val="13"/>
                <w:szCs w:val="13"/>
                <w:lang w:val="en-US" w:eastAsia="zh-CN"/>
              </w:rPr>
              <w:t>,</w:t>
            </w:r>
            <w:r>
              <w:rPr>
                <w:rStyle w:val="55"/>
                <w:rFonts w:hAnsi="Times New Roman"/>
                <w:sz w:val="13"/>
                <w:szCs w:val="13"/>
                <w:lang w:val="en-US" w:eastAsia="zh-CN"/>
              </w:rPr>
              <w:t>用以反</w:t>
            </w:r>
            <w:r>
              <w:rPr>
                <w:rStyle w:val="55"/>
                <w:rFonts w:hint="eastAsia" w:hAnsi="Times New Roman"/>
                <w:sz w:val="13"/>
                <w:szCs w:val="13"/>
                <w:lang w:val="en-US" w:eastAsia="zh-CN"/>
              </w:rPr>
              <w:t>应</w:t>
            </w:r>
            <w:r>
              <w:rPr>
                <w:rStyle w:val="55"/>
                <w:rFonts w:hAnsi="Times New Roman"/>
                <w:sz w:val="13"/>
                <w:szCs w:val="13"/>
                <w:lang w:val="en-US" w:eastAsia="zh-CN"/>
              </w:rPr>
              <w:t>和考核业务管理制度的有效执行情况。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执行且有效</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通用标准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①是否遵守相关法律法规和相关管理规定；</w:t>
            </w:r>
            <w:r>
              <w:rPr>
                <w:rStyle w:val="55"/>
                <w:rFonts w:hAnsi="Times New Roman"/>
                <w:sz w:val="13"/>
                <w:szCs w:val="13"/>
                <w:lang w:val="en-US" w:eastAsia="zh-CN"/>
              </w:rPr>
              <w:br w:type="textWrapping"/>
            </w:r>
            <w:r>
              <w:rPr>
                <w:rStyle w:val="55"/>
                <w:rFonts w:hAnsi="Times New Roman"/>
                <w:sz w:val="13"/>
                <w:szCs w:val="13"/>
                <w:lang w:val="en-US" w:eastAsia="zh-CN"/>
              </w:rPr>
              <w:t>②项目调整及支出调整手续是否完备</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③项目合同书、验收报告、技术鉴定等资料是否齐全并及时归档</w:t>
            </w:r>
            <w:r>
              <w:rPr>
                <w:rStyle w:val="54"/>
                <w:rFonts w:eastAsia="等线"/>
                <w:sz w:val="13"/>
                <w:szCs w:val="13"/>
                <w:lang w:val="en-US" w:eastAsia="zh-CN"/>
              </w:rPr>
              <w:t>,</w:t>
            </w:r>
            <w:r>
              <w:rPr>
                <w:rStyle w:val="55"/>
                <w:rFonts w:hAnsi="Times New Roman"/>
                <w:sz w:val="13"/>
                <w:szCs w:val="13"/>
                <w:lang w:val="en-US" w:eastAsia="zh-CN"/>
              </w:rPr>
              <w:t>档案管理是否规范，是否按类别进行分类归档</w:t>
            </w:r>
            <w:r>
              <w:rPr>
                <w:rStyle w:val="54"/>
                <w:rFonts w:eastAsia="等线"/>
                <w:sz w:val="13"/>
                <w:szCs w:val="13"/>
                <w:lang w:val="en-US" w:eastAsia="zh-CN"/>
              </w:rPr>
              <w:t>;</w:t>
            </w:r>
            <w:r>
              <w:rPr>
                <w:rStyle w:val="54"/>
                <w:rFonts w:eastAsia="等线"/>
                <w:sz w:val="13"/>
                <w:szCs w:val="13"/>
                <w:lang w:val="en-US" w:eastAsia="zh-CN"/>
              </w:rPr>
              <w:br w:type="textWrapping"/>
            </w:r>
            <w:r>
              <w:rPr>
                <w:rStyle w:val="55"/>
                <w:rFonts w:hAnsi="Times New Roman"/>
                <w:sz w:val="13"/>
                <w:szCs w:val="13"/>
                <w:lang w:val="en-US" w:eastAsia="zh-CN"/>
              </w:rPr>
              <w:t>④项目实施的人员条件、场地设备、信息支撑等是否落实到位</w:t>
            </w:r>
            <w:r>
              <w:rPr>
                <w:rStyle w:val="55"/>
                <w:rFonts w:hint="eastAsia" w:hAnsi="Times New Roman"/>
                <w:sz w:val="13"/>
                <w:szCs w:val="13"/>
                <w:lang w:val="en-US" w:eastAsia="zh-CN"/>
              </w:rPr>
              <w:t>.</w:t>
            </w:r>
            <w:r>
              <w:rPr>
                <w:rStyle w:val="55"/>
                <w:rFonts w:hAnsi="Times New Roman"/>
                <w:sz w:val="13"/>
                <w:szCs w:val="13"/>
                <w:lang w:val="en-US" w:eastAsia="zh-CN"/>
              </w:rPr>
              <w:t>以上四项各占</w:t>
            </w:r>
            <w:r>
              <w:rPr>
                <w:rStyle w:val="54"/>
                <w:rFonts w:eastAsia="等线"/>
                <w:sz w:val="13"/>
                <w:szCs w:val="13"/>
                <w:lang w:val="en-US" w:eastAsia="zh-CN"/>
              </w:rPr>
              <w:t>25%</w:t>
            </w:r>
            <w:r>
              <w:rPr>
                <w:rStyle w:val="55"/>
                <w:rFonts w:hAnsi="Times New Roman"/>
                <w:sz w:val="13"/>
                <w:szCs w:val="13"/>
                <w:lang w:val="en-US" w:eastAsia="zh-CN"/>
              </w:rPr>
              <w:t>的权重分，满足得分，否则扣除对应分值。</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哈密市伊州区水利局所提供项目工程结算审核报告、项目资金支付审批表、国库集中支付凭证、项目验收报告等相关资料，项目执行遵守相关法律法规和业务管理制度规定，项目调整及支出调整手续完备，项目业务工作开展所需人员及设备支撑到位，结算、验收等资料齐全并及时归档，综上所述，该指标分值2分，根据评分标准得2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w:t>
            </w:r>
            <w:r>
              <w:rPr>
                <w:rStyle w:val="55"/>
                <w:rFonts w:hAnsi="Times New Roman"/>
                <w:sz w:val="13"/>
                <w:szCs w:val="13"/>
                <w:lang w:val="en-US" w:eastAsia="zh-CN"/>
              </w:rPr>
              <w:t>项目产出（</w:t>
            </w:r>
            <w:r>
              <w:rPr>
                <w:rStyle w:val="54"/>
                <w:rFonts w:eastAsia="等线"/>
                <w:sz w:val="13"/>
                <w:szCs w:val="13"/>
                <w:lang w:val="en-US" w:eastAsia="zh-CN"/>
              </w:rPr>
              <w:t>40</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w:t>
            </w:r>
            <w:r>
              <w:rPr>
                <w:rStyle w:val="55"/>
                <w:rFonts w:hAnsi="Times New Roman"/>
                <w:sz w:val="13"/>
                <w:szCs w:val="13"/>
                <w:lang w:val="en-US" w:eastAsia="zh-CN"/>
              </w:rPr>
              <w:t>产出数量（</w:t>
            </w:r>
            <w:r>
              <w:rPr>
                <w:rStyle w:val="54"/>
                <w:rFonts w:eastAsia="等线"/>
                <w:sz w:val="13"/>
                <w:szCs w:val="13"/>
                <w:lang w:val="en-US" w:eastAsia="zh-CN"/>
              </w:rPr>
              <w:t>15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C101</w:t>
            </w:r>
            <w:r>
              <w:rPr>
                <w:rStyle w:val="58"/>
                <w:sz w:val="13"/>
                <w:szCs w:val="13"/>
                <w:lang w:val="en-US" w:eastAsia="zh-CN"/>
              </w:rPr>
              <w:t>山洪灾害防治非工程措施完成率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反映山洪灾害防治非工程措施项目所包含各项工作的实际完成情况。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完成</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①按照项目实施方案完成相关工程，得满分；</w:t>
            </w:r>
            <w:r>
              <w:rPr>
                <w:rStyle w:val="55"/>
                <w:rFonts w:hAnsi="等线"/>
                <w:sz w:val="13"/>
                <w:szCs w:val="13"/>
                <w:lang w:val="en-US" w:eastAsia="zh-CN"/>
              </w:rPr>
              <w:br w:type="textWrapping"/>
            </w:r>
            <w:r>
              <w:rPr>
                <w:rStyle w:val="55"/>
                <w:rFonts w:hAnsi="等线"/>
                <w:sz w:val="13"/>
                <w:szCs w:val="13"/>
                <w:lang w:val="en-US" w:eastAsia="zh-CN"/>
              </w:rPr>
              <w:t>②未按照项目实施方案完成相关工程，不得分；</w:t>
            </w:r>
            <w:r>
              <w:rPr>
                <w:rStyle w:val="55"/>
                <w:rFonts w:hAnsi="等线"/>
                <w:sz w:val="13"/>
                <w:szCs w:val="13"/>
                <w:lang w:val="en-US" w:eastAsia="zh-CN"/>
              </w:rPr>
              <w:br w:type="textWrapping"/>
            </w:r>
            <w:r>
              <w:rPr>
                <w:rStyle w:val="55"/>
                <w:rFonts w:hAnsi="等线"/>
                <w:sz w:val="13"/>
                <w:szCs w:val="13"/>
                <w:lang w:val="en-US" w:eastAsia="zh-CN"/>
              </w:rPr>
              <w:t>③按照项目实施方案完成相关工程，但存在因需求调整使得实际完成工程量与规划工程量偏离的情况，扣减</w:t>
            </w:r>
            <w:r>
              <w:rPr>
                <w:rStyle w:val="54"/>
                <w:rFonts w:eastAsia="仿宋_GB2312"/>
                <w:sz w:val="13"/>
                <w:szCs w:val="13"/>
                <w:lang w:val="en-US" w:eastAsia="zh-CN"/>
              </w:rPr>
              <w:t>1</w:t>
            </w:r>
            <w:r>
              <w:rPr>
                <w:rStyle w:val="55"/>
                <w:rFonts w:hAnsi="等线"/>
                <w:sz w:val="13"/>
                <w:szCs w:val="13"/>
                <w:lang w:val="en-US" w:eastAsia="zh-CN"/>
              </w:rPr>
              <w:t>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根据《伊州区2024 年度山洪灾害防治非工程措施项目实施方案》，2024年应建立山洪灾害防治责任制体系，编制县乡村三级预案，补充新建雨水情监测站点（站点优化）7个，更新4G监测站（迁移）2个，增设卫星通信信道2个。根据项目验收报告及结算审核报告显示，2024年上述工作均已完成，山洪灾害防治非工程措施完成率为100%。综上所述，该指标分值3分，根据评分标准得3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260" w:firstLineChars="2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98"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C102</w:t>
            </w:r>
            <w:r>
              <w:rPr>
                <w:rStyle w:val="58"/>
                <w:sz w:val="13"/>
                <w:szCs w:val="13"/>
                <w:lang w:val="en-US" w:eastAsia="zh-CN"/>
              </w:rPr>
              <w:t>农村饮用水工程维修养护完成率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反映农村饮用水工程维修养护项目所包含各项工程量的实际完成情况。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完成</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①按照项目实施方案完成相关工程，得满分；</w:t>
            </w:r>
            <w:r>
              <w:rPr>
                <w:rStyle w:val="55"/>
                <w:rFonts w:hAnsi="等线"/>
                <w:sz w:val="13"/>
                <w:szCs w:val="13"/>
                <w:lang w:val="en-US" w:eastAsia="zh-CN"/>
              </w:rPr>
              <w:br w:type="textWrapping"/>
            </w:r>
            <w:r>
              <w:rPr>
                <w:rStyle w:val="55"/>
                <w:rFonts w:hAnsi="等线"/>
                <w:sz w:val="13"/>
                <w:szCs w:val="13"/>
                <w:lang w:val="en-US" w:eastAsia="zh-CN"/>
              </w:rPr>
              <w:t>②未按照项目实施方案完成相关工程，不得分；</w:t>
            </w:r>
            <w:r>
              <w:rPr>
                <w:rStyle w:val="55"/>
                <w:rFonts w:hAnsi="等线"/>
                <w:sz w:val="13"/>
                <w:szCs w:val="13"/>
                <w:lang w:val="en-US" w:eastAsia="zh-CN"/>
              </w:rPr>
              <w:br w:type="textWrapping"/>
            </w:r>
            <w:r>
              <w:rPr>
                <w:rStyle w:val="55"/>
                <w:rFonts w:hAnsi="等线"/>
                <w:sz w:val="13"/>
                <w:szCs w:val="13"/>
                <w:lang w:val="en-US" w:eastAsia="zh-CN"/>
              </w:rPr>
              <w:t>③按照项目实施方案完成相关工程，但存在因需求调整使得实际完成工程量与规划工程量偏离的情况，扣减</w:t>
            </w:r>
            <w:r>
              <w:rPr>
                <w:rStyle w:val="54"/>
                <w:rFonts w:eastAsia="仿宋_GB2312"/>
                <w:sz w:val="13"/>
                <w:szCs w:val="13"/>
                <w:lang w:val="en-US" w:eastAsia="zh-CN"/>
              </w:rPr>
              <w:t>1</w:t>
            </w:r>
            <w:r>
              <w:rPr>
                <w:rStyle w:val="55"/>
                <w:rFonts w:hAnsi="等线"/>
                <w:sz w:val="13"/>
                <w:szCs w:val="13"/>
                <w:lang w:val="en-US" w:eastAsia="zh-CN"/>
              </w:rPr>
              <w:t>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w:t>
            </w:r>
            <w:r>
              <w:rPr>
                <w:rStyle w:val="55"/>
                <w:rFonts w:hint="eastAsia" w:hAnsi="等线"/>
                <w:sz w:val="13"/>
                <w:szCs w:val="13"/>
                <w:lang w:val="en-US" w:eastAsia="zh-CN"/>
              </w:rPr>
              <w:t>相关</w:t>
            </w:r>
            <w:r>
              <w:rPr>
                <w:rStyle w:val="55"/>
                <w:rFonts w:hAnsi="等线"/>
                <w:sz w:val="13"/>
                <w:szCs w:val="13"/>
                <w:lang w:val="en-US" w:eastAsia="zh-CN"/>
              </w:rPr>
              <w:t>文件</w:t>
            </w:r>
            <w:r>
              <w:rPr>
                <w:rFonts w:hint="eastAsia" w:ascii="仿宋_GB2312" w:hAnsi="等线" w:eastAsia="仿宋_GB2312" w:cs="仿宋_GB2312"/>
                <w:i w:val="0"/>
                <w:color w:val="000000"/>
                <w:kern w:val="0"/>
                <w:sz w:val="13"/>
                <w:szCs w:val="13"/>
                <w:u w:val="none"/>
                <w:lang w:val="en-US" w:eastAsia="zh-CN"/>
              </w:rPr>
              <w:t>项目实施方案，2024年应完成两项内容，一是农村供水维修养护。二是沁城乡小堡村饮水工程，为小堡村安装家用净水器 200 套。根据项目验收报告及工程结算审核报告显示，2024年上述工作均已完成，农村饮用水工程维修养护完成率为100%。综上所述，该指标分值3分，根据评分标准得3分，得分率100%。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74"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C103</w:t>
            </w:r>
            <w:r>
              <w:rPr>
                <w:rStyle w:val="58"/>
                <w:sz w:val="13"/>
                <w:szCs w:val="13"/>
                <w:lang w:val="en-US" w:eastAsia="zh-CN"/>
              </w:rPr>
              <w:t>小型水库维修养护完成率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反映小型水库维修养护项目所包含各项工程量的实际完成情况。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完成</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①按照项目实施方案完成相关工程，得满分；</w:t>
            </w:r>
            <w:r>
              <w:rPr>
                <w:rStyle w:val="55"/>
                <w:rFonts w:hAnsi="等线"/>
                <w:sz w:val="13"/>
                <w:szCs w:val="13"/>
                <w:lang w:val="en-US" w:eastAsia="zh-CN"/>
              </w:rPr>
              <w:br w:type="textWrapping"/>
            </w:r>
            <w:r>
              <w:rPr>
                <w:rStyle w:val="55"/>
                <w:rFonts w:hAnsi="等线"/>
                <w:sz w:val="13"/>
                <w:szCs w:val="13"/>
                <w:lang w:val="en-US" w:eastAsia="zh-CN"/>
              </w:rPr>
              <w:t>②未按照项目实施方案完成相关工程，不得分；</w:t>
            </w:r>
            <w:r>
              <w:rPr>
                <w:rStyle w:val="55"/>
                <w:rFonts w:hAnsi="等线"/>
                <w:sz w:val="13"/>
                <w:szCs w:val="13"/>
                <w:lang w:val="en-US" w:eastAsia="zh-CN"/>
              </w:rPr>
              <w:br w:type="textWrapping"/>
            </w:r>
            <w:r>
              <w:rPr>
                <w:rStyle w:val="55"/>
                <w:rFonts w:hAnsi="等线"/>
                <w:sz w:val="13"/>
                <w:szCs w:val="13"/>
                <w:lang w:val="en-US" w:eastAsia="zh-CN"/>
              </w:rPr>
              <w:t>③按照项目实施方案完成相关工程，但存在因需求调整使得实际完成工程量与规划工程量偏离的情况，扣减</w:t>
            </w:r>
            <w:r>
              <w:rPr>
                <w:rStyle w:val="54"/>
                <w:rFonts w:eastAsia="仿宋_GB2312"/>
                <w:sz w:val="13"/>
                <w:szCs w:val="13"/>
                <w:lang w:val="en-US" w:eastAsia="zh-CN"/>
              </w:rPr>
              <w:t>1</w:t>
            </w:r>
            <w:r>
              <w:rPr>
                <w:rStyle w:val="55"/>
                <w:rFonts w:hAnsi="等线"/>
                <w:sz w:val="13"/>
                <w:szCs w:val="13"/>
                <w:lang w:val="en-US" w:eastAsia="zh-CN"/>
              </w:rPr>
              <w:t>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项目实施方案，2024年应完成对乌拉台水库等16座小型水库进行维修养护，对乌拉台水库等16座小型水库94km防洪堤进行白蚁等害堤动物防治。根据项目验收报告及工程结算审核报告显示，2024年上述工作均已完成，小型水库维修养护完成率为100%。综上所述，该指标分值3分，根据评分标准得3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82"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w:t>
            </w:r>
            <w:r>
              <w:rPr>
                <w:rStyle w:val="55"/>
                <w:rFonts w:hAnsi="Times New Roman"/>
                <w:sz w:val="13"/>
                <w:szCs w:val="13"/>
                <w:lang w:val="en-US" w:eastAsia="zh-CN"/>
              </w:rPr>
              <w:t>项目产出（</w:t>
            </w:r>
            <w:r>
              <w:rPr>
                <w:rStyle w:val="54"/>
                <w:rFonts w:eastAsia="等线"/>
                <w:sz w:val="13"/>
                <w:szCs w:val="13"/>
                <w:lang w:val="en-US" w:eastAsia="zh-CN"/>
              </w:rPr>
              <w:t>40</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w:t>
            </w:r>
            <w:r>
              <w:rPr>
                <w:rStyle w:val="58"/>
                <w:sz w:val="13"/>
                <w:szCs w:val="13"/>
                <w:lang w:val="en-US" w:eastAsia="zh-CN"/>
              </w:rPr>
              <w:t>产出数量（</w:t>
            </w:r>
            <w:r>
              <w:rPr>
                <w:rStyle w:val="54"/>
                <w:rFonts w:eastAsia="等线"/>
                <w:sz w:val="13"/>
                <w:szCs w:val="13"/>
                <w:lang w:val="en-US" w:eastAsia="zh-CN"/>
              </w:rPr>
              <w:t>15</w:t>
            </w:r>
            <w:r>
              <w:rPr>
                <w:rStyle w:val="58"/>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C104</w:t>
            </w:r>
            <w:r>
              <w:rPr>
                <w:rStyle w:val="58"/>
                <w:sz w:val="13"/>
                <w:szCs w:val="13"/>
                <w:lang w:val="en-US" w:eastAsia="zh-CN"/>
              </w:rPr>
              <w:t>农业水价综合改革维修养护完成率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反映农业水价综合改革维修养护项目所包含各项工程量的实际完成情况。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完成</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①按照项目实施方案完成相关工程，得满分；</w:t>
            </w:r>
            <w:r>
              <w:rPr>
                <w:rStyle w:val="55"/>
                <w:rFonts w:hAnsi="等线"/>
                <w:sz w:val="13"/>
                <w:szCs w:val="13"/>
                <w:lang w:val="en-US" w:eastAsia="zh-CN"/>
              </w:rPr>
              <w:br w:type="textWrapping"/>
            </w:r>
            <w:r>
              <w:rPr>
                <w:rStyle w:val="55"/>
                <w:rFonts w:hAnsi="等线"/>
                <w:sz w:val="13"/>
                <w:szCs w:val="13"/>
                <w:lang w:val="en-US" w:eastAsia="zh-CN"/>
              </w:rPr>
              <w:t>②未按照项目实施方案完成相关工程，不得分；</w:t>
            </w:r>
            <w:r>
              <w:rPr>
                <w:rStyle w:val="55"/>
                <w:rFonts w:hAnsi="等线"/>
                <w:sz w:val="13"/>
                <w:szCs w:val="13"/>
                <w:lang w:val="en-US" w:eastAsia="zh-CN"/>
              </w:rPr>
              <w:br w:type="textWrapping"/>
            </w:r>
            <w:r>
              <w:rPr>
                <w:rStyle w:val="55"/>
                <w:rFonts w:hAnsi="等线"/>
                <w:sz w:val="13"/>
                <w:szCs w:val="13"/>
                <w:lang w:val="en-US" w:eastAsia="zh-CN"/>
              </w:rPr>
              <w:t>③按照项目实施方案完成相关工程，但存在因需求调整使得实际完成工程量与规划工程量偏离的情况，扣减</w:t>
            </w:r>
            <w:r>
              <w:rPr>
                <w:rStyle w:val="54"/>
                <w:rFonts w:eastAsia="仿宋_GB2312"/>
                <w:sz w:val="13"/>
                <w:szCs w:val="13"/>
                <w:lang w:val="en-US" w:eastAsia="zh-CN"/>
              </w:rPr>
              <w:t>1</w:t>
            </w:r>
            <w:r>
              <w:rPr>
                <w:rStyle w:val="55"/>
                <w:rFonts w:hAnsi="等线"/>
                <w:sz w:val="13"/>
                <w:szCs w:val="13"/>
                <w:lang w:val="en-US" w:eastAsia="zh-CN"/>
              </w:rPr>
              <w:t>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项目实施方案，2024年应完成对石城子渠灌区、都鲁克灌区和沁城灌区渠首、骨干渠道、计量设施等农业水价综合改革内容进行维修养护.根据项目验收报告及合同完工验收鉴定书显示，2024年上述工作均已完成，农业水价综合改革维修养护完成率为100%。综上所述，该指标分值3分，根据评分标准得3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72"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C105</w:t>
            </w:r>
            <w:r>
              <w:rPr>
                <w:rStyle w:val="58"/>
                <w:sz w:val="13"/>
                <w:szCs w:val="13"/>
                <w:lang w:val="en-US" w:eastAsia="zh-CN"/>
              </w:rPr>
              <w:t>地下水超采治理地表水置换地下水工程完成率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反映地下水超采治理地表水置换地下水工程项目所包含各项工程量的实际完成情况。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完成</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①按照项目实施方案完成相关工程，得满分；</w:t>
            </w:r>
            <w:r>
              <w:rPr>
                <w:rStyle w:val="55"/>
                <w:rFonts w:hAnsi="等线"/>
                <w:sz w:val="13"/>
                <w:szCs w:val="13"/>
                <w:lang w:val="en-US" w:eastAsia="zh-CN"/>
              </w:rPr>
              <w:br w:type="textWrapping"/>
            </w:r>
            <w:r>
              <w:rPr>
                <w:rStyle w:val="55"/>
                <w:rFonts w:hAnsi="等线"/>
                <w:sz w:val="13"/>
                <w:szCs w:val="13"/>
                <w:lang w:val="en-US" w:eastAsia="zh-CN"/>
              </w:rPr>
              <w:t>②未按照项目实施方案完成相关工程，不得分；</w:t>
            </w:r>
            <w:r>
              <w:rPr>
                <w:rStyle w:val="55"/>
                <w:rFonts w:hAnsi="等线"/>
                <w:sz w:val="13"/>
                <w:szCs w:val="13"/>
                <w:lang w:val="en-US" w:eastAsia="zh-CN"/>
              </w:rPr>
              <w:br w:type="textWrapping"/>
            </w:r>
            <w:r>
              <w:rPr>
                <w:rStyle w:val="55"/>
                <w:rFonts w:hAnsi="等线"/>
                <w:sz w:val="13"/>
                <w:szCs w:val="13"/>
                <w:lang w:val="en-US" w:eastAsia="zh-CN"/>
              </w:rPr>
              <w:t>③按照项目实施方案完成相关工程，但存在因需求调整使得实际完成工程量与规划工程量偏离的情况，扣减</w:t>
            </w:r>
            <w:r>
              <w:rPr>
                <w:rStyle w:val="54"/>
                <w:rFonts w:eastAsia="仿宋_GB2312"/>
                <w:sz w:val="13"/>
                <w:szCs w:val="13"/>
                <w:lang w:val="en-US" w:eastAsia="zh-CN"/>
              </w:rPr>
              <w:t>1</w:t>
            </w:r>
            <w:r>
              <w:rPr>
                <w:rStyle w:val="55"/>
                <w:rFonts w:hAnsi="等线"/>
                <w:sz w:val="13"/>
                <w:szCs w:val="13"/>
                <w:lang w:val="en-US" w:eastAsia="zh-CN"/>
              </w:rPr>
              <w:t>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w:t>
            </w:r>
            <w:r>
              <w:rPr>
                <w:rStyle w:val="55"/>
                <w:rFonts w:hint="eastAsia" w:hAnsi="等线"/>
                <w:sz w:val="13"/>
                <w:szCs w:val="13"/>
                <w:lang w:val="en-US" w:eastAsia="zh-CN"/>
              </w:rPr>
              <w:t>相关</w:t>
            </w:r>
            <w:r>
              <w:rPr>
                <w:rStyle w:val="55"/>
                <w:rFonts w:hAnsi="等线"/>
                <w:sz w:val="13"/>
                <w:szCs w:val="13"/>
                <w:lang w:val="en-US" w:eastAsia="zh-CN"/>
              </w:rPr>
              <w:t>文件</w:t>
            </w:r>
            <w:r>
              <w:rPr>
                <w:rFonts w:hint="eastAsia" w:ascii="仿宋_GB2312" w:hAnsi="等线" w:eastAsia="仿宋_GB2312" w:cs="仿宋_GB2312"/>
                <w:i w:val="0"/>
                <w:color w:val="000000"/>
                <w:kern w:val="0"/>
                <w:sz w:val="13"/>
                <w:szCs w:val="13"/>
                <w:u w:val="none"/>
                <w:lang w:val="en-US" w:eastAsia="zh-CN"/>
              </w:rPr>
              <w:t>，2024年应在伊州区陶家官镇新建输水管道24.246公里及48座各类阀井等配套附属构筑物等。根据项目验收报告显示，2024年上述工作均已完成，地下水超采治理地表水置换地下水工程完成率为100%。综上所述，该指标分值3分，根据评分标准得3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49"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C2</w:t>
            </w:r>
            <w:r>
              <w:rPr>
                <w:rStyle w:val="55"/>
                <w:rFonts w:hAnsi="Times New Roman"/>
                <w:sz w:val="13"/>
                <w:szCs w:val="13"/>
                <w:lang w:val="en-US" w:eastAsia="zh-CN"/>
              </w:rPr>
              <w:t>产出质量（</w:t>
            </w:r>
            <w:r>
              <w:rPr>
                <w:rStyle w:val="54"/>
                <w:rFonts w:eastAsia="等线"/>
                <w:sz w:val="13"/>
                <w:szCs w:val="13"/>
                <w:lang w:val="en-US" w:eastAsia="zh-CN"/>
              </w:rPr>
              <w:t>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C201</w:t>
            </w:r>
            <w:r>
              <w:rPr>
                <w:rStyle w:val="58"/>
                <w:sz w:val="13"/>
                <w:szCs w:val="13"/>
                <w:lang w:val="en-US" w:eastAsia="zh-CN"/>
              </w:rPr>
              <w:t>水利建设和维修养护工程竣工验收合格率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反映水利建设和维修养护工程项目所包含各项工程是否通过竣工验收的情况。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合格</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①实施项目初验，并由施工单位完成初验问题整改工作得</w:t>
            </w:r>
            <w:r>
              <w:rPr>
                <w:rStyle w:val="54"/>
                <w:rFonts w:eastAsia="仿宋_GB2312"/>
                <w:sz w:val="13"/>
                <w:szCs w:val="13"/>
                <w:lang w:val="en-US" w:eastAsia="zh-CN"/>
              </w:rPr>
              <w:t>2</w:t>
            </w:r>
            <w:r>
              <w:rPr>
                <w:rStyle w:val="55"/>
                <w:rFonts w:hAnsi="等线"/>
                <w:sz w:val="13"/>
                <w:szCs w:val="13"/>
                <w:lang w:val="en-US" w:eastAsia="zh-CN"/>
              </w:rPr>
              <w:t>分，反之不得分；</w:t>
            </w:r>
            <w:r>
              <w:rPr>
                <w:rStyle w:val="55"/>
                <w:rFonts w:hAnsi="等线"/>
                <w:sz w:val="13"/>
                <w:szCs w:val="13"/>
                <w:lang w:val="en-US" w:eastAsia="zh-CN"/>
              </w:rPr>
              <w:br w:type="textWrapping"/>
            </w:r>
            <w:r>
              <w:rPr>
                <w:rStyle w:val="55"/>
                <w:rFonts w:hAnsi="等线"/>
                <w:sz w:val="13"/>
                <w:szCs w:val="13"/>
                <w:lang w:val="en-US" w:eastAsia="zh-CN"/>
              </w:rPr>
              <w:t>②通过竣工验收得</w:t>
            </w:r>
            <w:r>
              <w:rPr>
                <w:rStyle w:val="54"/>
                <w:rFonts w:eastAsia="仿宋_GB2312"/>
                <w:sz w:val="13"/>
                <w:szCs w:val="13"/>
                <w:lang w:val="en-US" w:eastAsia="zh-CN"/>
              </w:rPr>
              <w:t>3</w:t>
            </w:r>
            <w:r>
              <w:rPr>
                <w:rStyle w:val="55"/>
                <w:rFonts w:hAnsi="等线"/>
                <w:sz w:val="13"/>
                <w:szCs w:val="13"/>
                <w:lang w:val="en-US" w:eastAsia="zh-CN"/>
              </w:rPr>
              <w:t>分，反之不得分。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由实施单位、监理单位、施工单位、质量和安全监督机构四方以及哈密市伊州水利局共同开展项目竣工验收工作，经各方综合评定，项目工程整体质量达标，满足竣工验收要求，竣工验收报告及相应签章手续齐全。综上所述，该指标分值5分，根据评分标准得5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6"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C3</w:t>
            </w:r>
            <w:r>
              <w:rPr>
                <w:rStyle w:val="55"/>
                <w:rFonts w:hAnsi="Times New Roman"/>
                <w:sz w:val="13"/>
                <w:szCs w:val="13"/>
                <w:lang w:val="en-US" w:eastAsia="zh-CN"/>
              </w:rPr>
              <w:t>产出时效（</w:t>
            </w:r>
            <w:r>
              <w:rPr>
                <w:rStyle w:val="54"/>
                <w:rFonts w:eastAsia="等线"/>
                <w:sz w:val="13"/>
                <w:szCs w:val="13"/>
                <w:lang w:val="en-US" w:eastAsia="zh-CN"/>
              </w:rPr>
              <w:t>15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C301</w:t>
            </w:r>
            <w:r>
              <w:rPr>
                <w:rStyle w:val="58"/>
                <w:sz w:val="13"/>
                <w:szCs w:val="13"/>
                <w:lang w:val="en-US" w:eastAsia="zh-CN"/>
              </w:rPr>
              <w:t>水利建设和维修养护工程开工及时率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7</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项目工程开工时间与评价标准对比，用以反映水利建设和维修养护工程开工是否及时的情况。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及时</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5项工程按照方案规划及时开工得</w:t>
            </w:r>
            <w:r>
              <w:rPr>
                <w:rStyle w:val="54"/>
                <w:rFonts w:eastAsia="仿宋_GB2312"/>
                <w:sz w:val="13"/>
                <w:szCs w:val="13"/>
                <w:lang w:val="en-US" w:eastAsia="zh-CN"/>
              </w:rPr>
              <w:t>6</w:t>
            </w:r>
            <w:r>
              <w:rPr>
                <w:rStyle w:val="58"/>
                <w:sz w:val="13"/>
                <w:szCs w:val="13"/>
                <w:lang w:val="en-US" w:eastAsia="zh-CN"/>
              </w:rPr>
              <w:t>分，每有</w:t>
            </w:r>
            <w:r>
              <w:rPr>
                <w:rStyle w:val="54"/>
                <w:rFonts w:eastAsia="仿宋_GB2312"/>
                <w:sz w:val="13"/>
                <w:szCs w:val="13"/>
                <w:lang w:val="en-US" w:eastAsia="zh-CN"/>
              </w:rPr>
              <w:t>1</w:t>
            </w:r>
            <w:r>
              <w:rPr>
                <w:rStyle w:val="58"/>
                <w:sz w:val="13"/>
                <w:szCs w:val="13"/>
                <w:lang w:val="en-US" w:eastAsia="zh-CN"/>
              </w:rPr>
              <w:t>项工程未及时开工扣</w:t>
            </w:r>
            <w:r>
              <w:rPr>
                <w:rStyle w:val="54"/>
                <w:rFonts w:eastAsia="仿宋_GB2312"/>
                <w:sz w:val="13"/>
                <w:szCs w:val="13"/>
                <w:lang w:val="en-US" w:eastAsia="zh-CN"/>
              </w:rPr>
              <w:t>1.4</w:t>
            </w:r>
            <w:r>
              <w:rPr>
                <w:rStyle w:val="58"/>
                <w:sz w:val="13"/>
                <w:szCs w:val="13"/>
                <w:lang w:val="en-US" w:eastAsia="zh-CN"/>
              </w:rPr>
              <w:t>分</w:t>
            </w:r>
            <w:r>
              <w:rPr>
                <w:rStyle w:val="55"/>
                <w:rFonts w:hAnsi="等线"/>
                <w:sz w:val="13"/>
                <w:szCs w:val="13"/>
                <w:lang w:val="en-US" w:eastAsia="zh-CN"/>
              </w:rPr>
              <w:t>。</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哈密市水利局批复的各项目实施方案，发改部门批复的初步设计及验收报告等资料显示，山洪灾害防治非工程措施规划开工时间为2024年3月20日，实际开工时间为2024年3月20日。农村饮用水工程维修养护规划开工时间为2024年3月20日，实际开工时间2024年6月1日。农业水价综合改革维修养护规划开工时间为2024年4月1日，实际开工时间2024年5月10日。小型水库维修养护规划开工时间为2024年3月20日，实际开工时间2024年4月25日。地下水超采治理地表水置换地下水工程计划工期为1年，实际工期为1年，工期为2024年6月28日至2025年6月25日。农村饮用水工程维修养护等3个项目实际开工时间与规划不符，水利建设和维修养护工程开工及时率为40%。综上所述，扣除4.2分，该指标得2.8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2.8</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260" w:firstLineChars="2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62"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w:t>
            </w:r>
            <w:r>
              <w:rPr>
                <w:rStyle w:val="58"/>
                <w:sz w:val="13"/>
                <w:szCs w:val="13"/>
                <w:lang w:val="en-US" w:eastAsia="zh-CN"/>
              </w:rPr>
              <w:t>项目产出（</w:t>
            </w:r>
            <w:r>
              <w:rPr>
                <w:rStyle w:val="54"/>
                <w:rFonts w:eastAsia="等线"/>
                <w:sz w:val="13"/>
                <w:szCs w:val="13"/>
                <w:lang w:val="en-US" w:eastAsia="zh-CN"/>
              </w:rPr>
              <w:t>40</w:t>
            </w:r>
            <w:r>
              <w:rPr>
                <w:rStyle w:val="58"/>
                <w:sz w:val="13"/>
                <w:szCs w:val="13"/>
                <w:lang w:val="en-US" w:eastAsia="zh-CN"/>
              </w:rPr>
              <w:t>）</w:t>
            </w: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C3</w:t>
            </w:r>
            <w:r>
              <w:rPr>
                <w:rStyle w:val="55"/>
                <w:rFonts w:hAnsi="Times New Roman"/>
                <w:sz w:val="13"/>
                <w:szCs w:val="13"/>
                <w:lang w:val="en-US" w:eastAsia="zh-CN"/>
              </w:rPr>
              <w:t>产出时效（</w:t>
            </w:r>
            <w:r>
              <w:rPr>
                <w:rStyle w:val="54"/>
                <w:rFonts w:eastAsia="等线"/>
                <w:sz w:val="13"/>
                <w:szCs w:val="13"/>
                <w:lang w:val="en-US" w:eastAsia="zh-CN"/>
              </w:rPr>
              <w:t>15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C302</w:t>
            </w:r>
            <w:r>
              <w:rPr>
                <w:rStyle w:val="58"/>
                <w:sz w:val="13"/>
                <w:szCs w:val="13"/>
                <w:lang w:val="en-US" w:eastAsia="zh-CN"/>
              </w:rPr>
              <w:t>水利建设和维修养护工程竣工及时率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项目计划完工时间与实际完工时间的对比，用以水利建设和维修养护工程完工是否及时的情况。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及时</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5项工程按照方案规划及时完工得8</w:t>
            </w:r>
            <w:r>
              <w:rPr>
                <w:rStyle w:val="58"/>
                <w:sz w:val="13"/>
                <w:szCs w:val="13"/>
                <w:lang w:val="en-US" w:eastAsia="zh-CN"/>
              </w:rPr>
              <w:t>分，每有</w:t>
            </w:r>
            <w:r>
              <w:rPr>
                <w:rStyle w:val="54"/>
                <w:rFonts w:eastAsia="仿宋_GB2312"/>
                <w:sz w:val="13"/>
                <w:szCs w:val="13"/>
                <w:lang w:val="en-US" w:eastAsia="zh-CN"/>
              </w:rPr>
              <w:t>1</w:t>
            </w:r>
            <w:r>
              <w:rPr>
                <w:rStyle w:val="58"/>
                <w:sz w:val="13"/>
                <w:szCs w:val="13"/>
                <w:lang w:val="en-US" w:eastAsia="zh-CN"/>
              </w:rPr>
              <w:t>项工程未及时完工扣</w:t>
            </w:r>
            <w:r>
              <w:rPr>
                <w:rStyle w:val="54"/>
                <w:rFonts w:eastAsia="仿宋_GB2312"/>
                <w:sz w:val="13"/>
                <w:szCs w:val="13"/>
                <w:lang w:val="en-US" w:eastAsia="zh-CN"/>
              </w:rPr>
              <w:t>1.6</w:t>
            </w:r>
            <w:r>
              <w:rPr>
                <w:rStyle w:val="58"/>
                <w:sz w:val="13"/>
                <w:szCs w:val="13"/>
                <w:lang w:val="en-US" w:eastAsia="zh-CN"/>
              </w:rPr>
              <w:t>分</w:t>
            </w:r>
            <w:r>
              <w:rPr>
                <w:rStyle w:val="55"/>
                <w:rFonts w:hAnsi="等线"/>
                <w:sz w:val="13"/>
                <w:szCs w:val="13"/>
                <w:lang w:val="en-US" w:eastAsia="zh-CN"/>
              </w:rPr>
              <w:t>。</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哈密市水利局批复的各项目实施方案，发改部门批复的初步设计及验收报告等资料显示，山洪灾害防治非工程措施规划完工日期为2024年5月30日，实际完工日期为2024年7月10日。农村饮用水工程维修养护规划完工日期为2024年6月20日，实际完工日期2024年7月30日。农业水价综合改革维修养护规划完工日期为2024年9月30日，实际完工日期2024年9月27日。小型水库维修养护规划完工日期为2024年6月20日，实际完工日期2024年8月9日。地下水超采治理地表水置换地下水工程完工日期为1年，实际工期为1年，工期为2024年6月28日至2025年6月25日。山洪灾害防治非工程措施等3个项目实际完工时间滞后，水利建设和维修养护工程竣工及时率40%。综上所述，扣除4.8分，该指标得3.2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3.2</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53"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C4</w:t>
            </w:r>
            <w:r>
              <w:rPr>
                <w:rStyle w:val="55"/>
                <w:rFonts w:hAnsi="Times New Roman"/>
                <w:sz w:val="13"/>
                <w:szCs w:val="13"/>
                <w:lang w:val="en-US" w:eastAsia="zh-CN"/>
              </w:rPr>
              <w:t>产出成本（</w:t>
            </w:r>
            <w:r>
              <w:rPr>
                <w:rStyle w:val="54"/>
                <w:rFonts w:eastAsia="等线"/>
                <w:sz w:val="13"/>
                <w:szCs w:val="13"/>
                <w:lang w:val="en-US" w:eastAsia="zh-CN"/>
              </w:rPr>
              <w:t>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C401</w:t>
            </w:r>
            <w:r>
              <w:rPr>
                <w:rStyle w:val="58"/>
                <w:sz w:val="13"/>
                <w:szCs w:val="13"/>
                <w:lang w:val="en-US" w:eastAsia="zh-CN"/>
              </w:rPr>
              <w:t>水利建设和维修养护工程节约率</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项目实施期间水利建设和维修养护工程实际支出成本与计划支出成本比对，反映水利建设和维修养护工程成本控制情况。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260" w:firstLineChars="200"/>
              <w:jc w:val="both"/>
              <w:textAlignment w:val="center"/>
              <w:rPr>
                <w:rFonts w:hint="default" w:ascii="Times New Roman" w:hAnsi="Times New Roman" w:eastAsia="等线" w:cs="Times New Roman"/>
                <w:i w:val="0"/>
                <w:color w:val="000000"/>
                <w:sz w:val="13"/>
                <w:szCs w:val="13"/>
                <w:u w:val="none"/>
              </w:rPr>
            </w:pPr>
            <w:r>
              <w:rPr>
                <w:rStyle w:val="58"/>
                <w:sz w:val="13"/>
                <w:szCs w:val="13"/>
                <w:lang w:val="en-US" w:eastAsia="zh-CN"/>
              </w:rPr>
              <w:t>≥</w:t>
            </w:r>
            <w:r>
              <w:rPr>
                <w:rStyle w:val="54"/>
                <w:rFonts w:eastAsia="等线"/>
                <w:sz w:val="13"/>
                <w:szCs w:val="13"/>
                <w:lang w:val="en-US" w:eastAsia="zh-CN"/>
              </w:rPr>
              <w:t>0%</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①水利建设和维修养护工程建设成本节约率≥0%，不扣分；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②-60%≤水利建设和维修养护工程建设成本节约率＜0%，得分=[1-(水利建设和维修养护工程建设成本节约率×-1)]×该指标分值；</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③水利建设和维修养护工程建设成本节约率＜-60%，不得分。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项目总投资概算为2682.50万元，其中：山洪灾害防治46万元、农村饮水工程维修养护110万元、小型水库维修养护96.50万元、节水补助及奖补20万元、农业水价综合改革200万元、地下水超采治理2210万元。2024年项目结算审核价为2251.48万元，其中：山洪灾害防治41.90万元、农村饮水工程维修养护88.07万元、小型水库维修养护96.49万元、节水补助及奖补16.25万元、农业水价综合改革199.50万元、地下水超采治理1809.27万元。项目资金成本节约率为16.07%。</w:t>
            </w:r>
            <w:r>
              <w:rPr>
                <w:rStyle w:val="54"/>
                <w:rFonts w:eastAsia="仿宋_GB2312"/>
                <w:sz w:val="13"/>
                <w:szCs w:val="13"/>
                <w:lang w:val="en-US" w:eastAsia="zh-CN"/>
              </w:rPr>
              <w:t>%</w:t>
            </w:r>
            <w:r>
              <w:rPr>
                <w:rStyle w:val="55"/>
                <w:rFonts w:hAnsi="等线"/>
                <w:sz w:val="13"/>
                <w:szCs w:val="13"/>
                <w:lang w:val="en-US" w:eastAsia="zh-CN"/>
              </w:rPr>
              <w:t>。综上所述，该指标得5分。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20" w:hRule="atLeast"/>
        </w:trPr>
        <w:tc>
          <w:tcPr>
            <w:tcW w:w="9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w:t>
            </w:r>
            <w:r>
              <w:rPr>
                <w:rStyle w:val="55"/>
                <w:rFonts w:hAnsi="Times New Roman"/>
                <w:sz w:val="13"/>
                <w:szCs w:val="13"/>
                <w:lang w:val="en-US" w:eastAsia="zh-CN"/>
              </w:rPr>
              <w:t>项目效益（</w:t>
            </w:r>
            <w:r>
              <w:rPr>
                <w:rStyle w:val="54"/>
                <w:rFonts w:eastAsia="等线"/>
                <w:sz w:val="13"/>
                <w:szCs w:val="13"/>
                <w:lang w:val="en-US" w:eastAsia="zh-CN"/>
              </w:rPr>
              <w:t>20</w:t>
            </w:r>
            <w:r>
              <w:rPr>
                <w:rStyle w:val="55"/>
                <w:rFonts w:hAnsi="Times New Roman"/>
                <w:sz w:val="13"/>
                <w:szCs w:val="13"/>
                <w:lang w:val="en-US" w:eastAsia="zh-CN"/>
              </w:rPr>
              <w:t>）</w:t>
            </w:r>
          </w:p>
        </w:tc>
        <w:tc>
          <w:tcPr>
            <w:tcW w:w="90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D1</w:t>
            </w:r>
            <w:r>
              <w:rPr>
                <w:rStyle w:val="55"/>
                <w:rFonts w:hAnsi="Times New Roman"/>
                <w:sz w:val="13"/>
                <w:szCs w:val="13"/>
                <w:lang w:val="en-US" w:eastAsia="zh-CN"/>
              </w:rPr>
              <w:t>项目效益（</w:t>
            </w:r>
            <w:r>
              <w:rPr>
                <w:rStyle w:val="54"/>
                <w:rFonts w:eastAsia="等线"/>
                <w:sz w:val="13"/>
                <w:szCs w:val="13"/>
                <w:lang w:val="en-US" w:eastAsia="zh-CN"/>
              </w:rPr>
              <w:t>15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D101</w:t>
            </w:r>
            <w:r>
              <w:rPr>
                <w:rStyle w:val="58"/>
                <w:sz w:val="13"/>
                <w:szCs w:val="13"/>
                <w:lang w:val="en-US" w:eastAsia="zh-CN"/>
              </w:rPr>
              <w:t>山洪灾害防治水平提升情况</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反映通过本项目实施对伊州区雨水情监测等山洪灾害防治水平的提升情况。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有效提升</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①解决现有雨水情监测设施站网密度低，监测站网布局不合理，危险区、防御对象存在监测盲区的问题得</w:t>
            </w:r>
            <w:r>
              <w:rPr>
                <w:rStyle w:val="54"/>
                <w:rFonts w:eastAsia="仿宋_GB2312"/>
                <w:sz w:val="13"/>
                <w:szCs w:val="13"/>
                <w:lang w:val="en-US" w:eastAsia="zh-CN"/>
              </w:rPr>
              <w:t>2</w:t>
            </w:r>
            <w:r>
              <w:rPr>
                <w:rStyle w:val="55"/>
                <w:rFonts w:hAnsi="等线"/>
                <w:sz w:val="13"/>
                <w:szCs w:val="13"/>
                <w:lang w:val="en-US" w:eastAsia="zh-CN"/>
              </w:rPr>
              <w:t>分，反之不得分；</w:t>
            </w:r>
            <w:r>
              <w:rPr>
                <w:rStyle w:val="55"/>
                <w:rFonts w:hAnsi="等线"/>
                <w:sz w:val="13"/>
                <w:szCs w:val="13"/>
                <w:lang w:val="en-US" w:eastAsia="zh-CN"/>
              </w:rPr>
              <w:br w:type="textWrapping"/>
            </w:r>
            <w:r>
              <w:rPr>
                <w:rStyle w:val="55"/>
                <w:rFonts w:hAnsi="等线"/>
                <w:sz w:val="13"/>
                <w:szCs w:val="13"/>
                <w:lang w:val="en-US" w:eastAsia="zh-CN"/>
              </w:rPr>
              <w:t>②解决现有基层乡村和单位群测群防体系不健全问题得3分，反之不得分。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2024年通过优化雨水情监测站点7个（分别为芨台沟上游雨量站、头道沟村上游雨量站、四道沟上游雨量站、小天生圈上游雨量站、卡拉卡依提村上游雨量站、南山口南部戈壁雨量站、西山乡南部戈壁雨量站），更新4G 监测站（迁移）2个（分别为七道沟上游雨量卫星站、六道沟村委会卫星雨量站），更新卫星通信信道2个（分别为南山口渠首水位站、南山口渠首雨量站），完善县级山洪防御应急预案1个、乡镇山洪防御应急预案6个、村级山洪防御应急预案13个，有效补全了山洪防治基层乡村和单位群测群防体系不健全等短板和薄弱环节。综上所述，伊州区山洪灾害防治水平提升效果显著，该指标得</w:t>
            </w:r>
            <w:r>
              <w:rPr>
                <w:rStyle w:val="54"/>
                <w:rFonts w:eastAsia="仿宋_GB2312"/>
                <w:sz w:val="13"/>
                <w:szCs w:val="13"/>
                <w:lang w:val="en-US" w:eastAsia="zh-CN"/>
              </w:rPr>
              <w:t>5</w:t>
            </w:r>
            <w:r>
              <w:rPr>
                <w:rStyle w:val="55"/>
                <w:rFonts w:hAnsi="等线"/>
                <w:sz w:val="13"/>
                <w:szCs w:val="13"/>
                <w:lang w:val="en-US" w:eastAsia="zh-CN"/>
              </w:rPr>
              <w:t>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47"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w:t>
            </w:r>
            <w:r>
              <w:rPr>
                <w:rStyle w:val="58"/>
                <w:sz w:val="13"/>
                <w:szCs w:val="13"/>
                <w:lang w:val="en-US" w:eastAsia="zh-CN"/>
              </w:rPr>
              <w:t>项目效益（</w:t>
            </w:r>
            <w:r>
              <w:rPr>
                <w:rStyle w:val="54"/>
                <w:rFonts w:eastAsia="等线"/>
                <w:sz w:val="13"/>
                <w:szCs w:val="13"/>
                <w:lang w:val="en-US" w:eastAsia="zh-CN"/>
              </w:rPr>
              <w:t>20</w:t>
            </w:r>
            <w:r>
              <w:rPr>
                <w:rStyle w:val="58"/>
                <w:sz w:val="13"/>
                <w:szCs w:val="13"/>
                <w:lang w:val="en-US" w:eastAsia="zh-CN"/>
              </w:rPr>
              <w:t>）</w:t>
            </w: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D102</w:t>
            </w:r>
            <w:r>
              <w:rPr>
                <w:rStyle w:val="58"/>
                <w:sz w:val="13"/>
                <w:szCs w:val="13"/>
                <w:lang w:val="en-US" w:eastAsia="zh-CN"/>
              </w:rPr>
              <w:t>水利设施运行保障情况</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反映通过本项目实施对供水厂、小型水库等水利设施正常运行的保障情况。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有效保障</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Style w:val="55"/>
                <w:rFonts w:hAnsi="等线"/>
                <w:sz w:val="13"/>
                <w:szCs w:val="13"/>
                <w:lang w:val="en-US" w:eastAsia="zh-CN"/>
              </w:rPr>
              <w:t>①解决大泉湾水厂、西郊水厂、骆驼图子水厂设施设备及配件损坏的问题得</w:t>
            </w:r>
            <w:r>
              <w:rPr>
                <w:rStyle w:val="54"/>
                <w:rFonts w:eastAsia="仿宋_GB2312"/>
                <w:sz w:val="13"/>
                <w:szCs w:val="13"/>
                <w:lang w:val="en-US" w:eastAsia="zh-CN"/>
              </w:rPr>
              <w:t>2</w:t>
            </w:r>
            <w:r>
              <w:rPr>
                <w:rStyle w:val="55"/>
                <w:rFonts w:hAnsi="等线"/>
                <w:sz w:val="13"/>
                <w:szCs w:val="13"/>
                <w:lang w:val="en-US" w:eastAsia="zh-CN"/>
              </w:rPr>
              <w:t>分，反之不得分；</w:t>
            </w:r>
            <w:r>
              <w:rPr>
                <w:rStyle w:val="55"/>
                <w:rFonts w:hAnsi="等线"/>
                <w:sz w:val="13"/>
                <w:szCs w:val="13"/>
                <w:lang w:val="en-US" w:eastAsia="zh-CN"/>
              </w:rPr>
              <w:br w:type="textWrapping"/>
            </w:r>
            <w:r>
              <w:rPr>
                <w:rStyle w:val="55"/>
                <w:rFonts w:hAnsi="等线"/>
                <w:sz w:val="13"/>
                <w:szCs w:val="13"/>
                <w:lang w:val="en-US" w:eastAsia="zh-CN"/>
              </w:rPr>
              <w:t>②解决石城子灌区、都鲁克灌区和沁城灌区计量设施损坏问题得1分，反之不得分。</w:t>
            </w:r>
            <w:r>
              <w:rPr>
                <w:rStyle w:val="55"/>
                <w:rFonts w:hAnsi="等线"/>
                <w:sz w:val="13"/>
                <w:szCs w:val="13"/>
                <w:lang w:val="en-US" w:eastAsia="zh-CN"/>
              </w:rPr>
              <w:br w:type="textWrapping"/>
            </w:r>
            <w:r>
              <w:rPr>
                <w:rStyle w:val="55"/>
                <w:rFonts w:hAnsi="等线"/>
                <w:sz w:val="13"/>
                <w:szCs w:val="13"/>
                <w:lang w:val="en-US" w:eastAsia="zh-CN"/>
              </w:rPr>
              <w:t>③消除乌拉台水库、四道沟水库、花园水库等16座小型水库安全隐患得2，反之不得分。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2024年通过完成对大泉湾水厂、西郊水厂、骆驼土子水厂的机井、闸阀井、水泵等供水设施更新维护，为沁城乡小堡村安装家用净水器，有效保障了伊州区供水能力，为居民提供了安全饮水。完成对石城子渠灌区、都鲁克灌区和沁城灌区渠首、骨干渠道、等计量设施及闸门的维修养护，有效解决地表水计量设施计量不精准、引水渠首及骨干渠系破损、老化等问题，进一步巩固水价综合改革成效，提高了水资源利用效率。完成对乌拉台水库、四道沟水库、花园水库等16座小型水库的大坝护坡、放水闸门等方面的维修养护，消除了水库安全运行风险隐患，增强了水库的灌溉、防洪和供水保障能力。综上所述，该指标分值5分，根据评分标准得5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4"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D103</w:t>
            </w:r>
            <w:r>
              <w:rPr>
                <w:rStyle w:val="58"/>
                <w:sz w:val="13"/>
                <w:szCs w:val="13"/>
                <w:lang w:val="en-US" w:eastAsia="zh-CN"/>
              </w:rPr>
              <w:t>地下水超采治理情况</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通过考察伊州区东郊草场片区地下水置换为地表水的情况，用以反应伊州区东郊草场片区地下水超采问题的治理情况。</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健全</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解决地下水超采问题且满足灌溉需求得满分，反之不得分。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2024年通过对伊州区东郊草场片区实施地下水超采治理地表水置换地下水工程一期，将地下水全部置换为地表水，起点位于石榆总干渠距汇合口约 1.45km处，从起点至机井全部铺设输水管道24.246km，有效减少水的蒸发渗漏损失，提高水利用系数，满足灌区的灌溉用水量。综上所述，该指标得5分。</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35"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D2</w:t>
            </w:r>
            <w:r>
              <w:rPr>
                <w:rStyle w:val="55"/>
                <w:rFonts w:hAnsi="Times New Roman"/>
                <w:sz w:val="13"/>
                <w:szCs w:val="13"/>
                <w:lang w:val="en-US" w:eastAsia="zh-CN"/>
              </w:rPr>
              <w:t>满意度</w:t>
            </w:r>
            <w:r>
              <w:rPr>
                <w:rStyle w:val="55"/>
                <w:rFonts w:hAnsi="Times New Roman"/>
                <w:sz w:val="13"/>
                <w:szCs w:val="13"/>
                <w:lang w:val="en-US" w:eastAsia="zh-CN"/>
              </w:rPr>
              <w:br w:type="textWrapping"/>
            </w:r>
            <w:r>
              <w:rPr>
                <w:rStyle w:val="55"/>
                <w:rFonts w:hAnsi="Times New Roman"/>
                <w:sz w:val="13"/>
                <w:szCs w:val="13"/>
                <w:lang w:val="en-US" w:eastAsia="zh-CN"/>
              </w:rPr>
              <w:t>（</w:t>
            </w:r>
            <w:r>
              <w:rPr>
                <w:rStyle w:val="54"/>
                <w:rFonts w:eastAsia="等线"/>
                <w:sz w:val="13"/>
                <w:szCs w:val="13"/>
                <w:lang w:val="en-US" w:eastAsia="zh-CN"/>
              </w:rPr>
              <w:t>5</w:t>
            </w:r>
            <w:r>
              <w:rPr>
                <w:rStyle w:val="55"/>
                <w:rFonts w:hAnsi="Times New Roman"/>
                <w:sz w:val="13"/>
                <w:szCs w:val="13"/>
                <w:lang w:val="en-US" w:eastAsia="zh-CN"/>
              </w:rPr>
              <w:t>）</w:t>
            </w: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4"/>
                <w:rFonts w:eastAsia="等线"/>
                <w:sz w:val="13"/>
                <w:szCs w:val="13"/>
                <w:lang w:val="en-US" w:eastAsia="zh-CN"/>
              </w:rPr>
              <w:t>D201</w:t>
            </w:r>
            <w:r>
              <w:rPr>
                <w:rStyle w:val="58"/>
                <w:sz w:val="13"/>
                <w:szCs w:val="13"/>
                <w:lang w:val="en-US" w:eastAsia="zh-CN"/>
              </w:rPr>
              <w:t>用水群众满意度</w:t>
            </w: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过调查问卷中针对2024年供水保障情况、供水水质情况、东郊草场片区等“地表水置换地下水”工程实施后，用水便利性情况、山洪灾害监测预警能力情况、农业用水灌溉成本稳定情况满意的用水群众人数与参加满意度调查总人数比对，反映伊州区群众对本项目实施成效的满意程度。</w:t>
            </w: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w:t>
            </w:r>
            <w:r>
              <w:rPr>
                <w:rStyle w:val="54"/>
                <w:rFonts w:eastAsia="等线"/>
                <w:sz w:val="13"/>
                <w:szCs w:val="13"/>
                <w:lang w:val="en-US" w:eastAsia="zh-CN"/>
              </w:rPr>
              <w:t>90%</w:t>
            </w: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计划标准</w:t>
            </w: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①用水群众满意度≥90%，不扣分；</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②60%≤用水群众满意度＜90%，得分=用水群众满意度×该指标分值；</w:t>
            </w:r>
            <w:r>
              <w:rPr>
                <w:rFonts w:hint="eastAsia" w:ascii="仿宋_GB2312" w:hAnsi="等线" w:eastAsia="仿宋_GB2312" w:cs="仿宋_GB2312"/>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③用水群众满意度＜60%，不得分。</w:t>
            </w: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依据关于提前下达2024年中央水利发展资金项目主要实施内容，该项目实际受益对象主要为哈密市伊州区用水群众，评价组随机选取50户居民进行满意度调查，共计发放50份问卷，实际收回有效问卷50份。通过针对2024年供水保障情况、供水水质情况、东郊草场片区等“地表水置换地下水”工程实施后，用水便利性情况、山洪灾害监测预警能力情况、农业用水成本稳定情况开展调查并统计反馈结果，受益对象整体满意度为93.2%。综上所述，该指标分值5分，根据评分标准得5分，得分率100%。</w:t>
            </w: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4" w:hRule="atLeast"/>
        </w:trPr>
        <w:tc>
          <w:tcPr>
            <w:tcW w:w="9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Style w:val="55"/>
                <w:rFonts w:hAnsi="Times New Roman"/>
                <w:sz w:val="13"/>
                <w:szCs w:val="13"/>
                <w:lang w:val="en-US" w:eastAsia="zh-CN"/>
              </w:rPr>
              <w:t>总分</w:t>
            </w:r>
          </w:p>
        </w:tc>
        <w:tc>
          <w:tcPr>
            <w:tcW w:w="90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60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left"/>
              <w:rPr>
                <w:rFonts w:hint="default" w:ascii="Times New Roman" w:hAnsi="Times New Roman" w:eastAsia="等线" w:cs="Times New Roman"/>
                <w:i w:val="0"/>
                <w:color w:val="000000"/>
                <w:sz w:val="13"/>
                <w:szCs w:val="13"/>
                <w:u w:val="none"/>
              </w:rPr>
            </w:pPr>
          </w:p>
        </w:tc>
        <w:tc>
          <w:tcPr>
            <w:tcW w:w="7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79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331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left"/>
              <w:rPr>
                <w:rFonts w:hint="default" w:ascii="Times New Roman" w:hAnsi="Times New Roman" w:eastAsia="等线" w:cs="Times New Roman"/>
                <w:i w:val="0"/>
                <w:color w:val="000000"/>
                <w:sz w:val="13"/>
                <w:szCs w:val="13"/>
                <w:u w:val="none"/>
              </w:rPr>
            </w:pPr>
          </w:p>
        </w:tc>
        <w:tc>
          <w:tcPr>
            <w:tcW w:w="41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kinsoku/>
              <w:wordWrap/>
              <w:overflowPunct/>
              <w:topLinePunct w:val="0"/>
              <w:autoSpaceDE/>
              <w:autoSpaceDN/>
              <w:bidi w:val="0"/>
              <w:adjustRightInd/>
              <w:snapToGrid/>
              <w:spacing w:before="157" w:beforeLines="50" w:after="157" w:afterLines="50"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5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89.36</w:t>
            </w:r>
          </w:p>
        </w:tc>
        <w:tc>
          <w:tcPr>
            <w:tcW w:w="71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89.36%</w:t>
            </w:r>
          </w:p>
        </w:tc>
      </w:tr>
    </w:tbl>
    <w:p>
      <w:pPr>
        <w:pStyle w:val="26"/>
        <w:ind w:left="0" w:leftChars="0" w:firstLine="0" w:firstLineChars="0"/>
        <w:sectPr>
          <w:pgSz w:w="16838" w:h="11906" w:orient="landscape"/>
          <w:pgMar w:top="1797" w:right="2268" w:bottom="1797" w:left="1701" w:header="851" w:footer="992" w:gutter="0"/>
          <w:pgNumType w:start="1"/>
          <w:cols w:space="425" w:num="1"/>
          <w:docGrid w:type="lines" w:linePitch="312" w:charSpace="0"/>
        </w:sectPr>
      </w:pPr>
    </w:p>
    <w:p>
      <w:pPr>
        <w:pStyle w:val="26"/>
        <w:ind w:left="0" w:leftChars="0" w:firstLine="0" w:firstLineChars="0"/>
      </w:pPr>
      <w:r>
        <w:rPr>
          <w:rFonts w:hint="eastAsia" w:eastAsia="仿宋_GB2312"/>
          <w:lang w:eastAsia="zh-CN"/>
        </w:rPr>
        <w:drawing>
          <wp:anchor distT="0" distB="0" distL="114300" distR="114300" simplePos="0" relativeHeight="251659264" behindDoc="1" locked="0" layoutInCell="1" allowOverlap="1">
            <wp:simplePos x="0" y="0"/>
            <wp:positionH relativeFrom="column">
              <wp:posOffset>-449580</wp:posOffset>
            </wp:positionH>
            <wp:positionV relativeFrom="paragraph">
              <wp:posOffset>561340</wp:posOffset>
            </wp:positionV>
            <wp:extent cx="6253480" cy="7957185"/>
            <wp:effectExtent l="0" t="0" r="10160" b="13335"/>
            <wp:wrapThrough wrapText="bothSides">
              <wp:wrapPolygon>
                <wp:start x="0" y="0"/>
                <wp:lineTo x="0" y="21553"/>
                <wp:lineTo x="21530" y="21553"/>
                <wp:lineTo x="21530" y="0"/>
                <wp:lineTo x="0" y="0"/>
              </wp:wrapPolygon>
            </wp:wrapThrough>
            <wp:docPr id="1503" name="图片 2" descr="bc6e1b24-7ad2-45cd-bee4-22839e786d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图片 2" descr="bc6e1b24-7ad2-45cd-bee4-22839e786d3a"/>
                    <pic:cNvPicPr>
                      <a:picLocks noChangeAspect="1"/>
                    </pic:cNvPicPr>
                  </pic:nvPicPr>
                  <pic:blipFill>
                    <a:blip r:embed="rId19"/>
                    <a:stretch>
                      <a:fillRect/>
                    </a:stretch>
                  </pic:blipFill>
                  <pic:spPr>
                    <a:xfrm>
                      <a:off x="0" y="0"/>
                      <a:ext cx="6253480" cy="7957185"/>
                    </a:xfrm>
                    <a:prstGeom prst="rect">
                      <a:avLst/>
                    </a:prstGeom>
                  </pic:spPr>
                </pic:pic>
              </a:graphicData>
            </a:graphic>
          </wp:anchor>
        </w:drawing>
      </w:r>
      <w:r>
        <w:t>附件</w:t>
      </w:r>
      <w:r>
        <w:rPr>
          <w:rFonts w:hint="eastAsia"/>
        </w:rPr>
        <w:t xml:space="preserve"> </w:t>
      </w:r>
      <w:r>
        <w:t>2.满意度调查问卷分析报告</w:t>
      </w:r>
    </w:p>
    <w:sectPr>
      <w:pgSz w:w="11906" w:h="16838"/>
      <w:pgMar w:top="2268" w:right="1797" w:bottom="1701"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420"/>
      <w:jc w:val="center"/>
      <w:rPr>
        <w:rFonts w:hint="eastAsia"/>
      </w:rPr>
    </w:pPr>
  </w:p>
  <w:p>
    <w:pPr>
      <w:pStyle w:val="8"/>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4649996"/>
      <w:docPartObj>
        <w:docPartGallery w:val="autotext"/>
      </w:docPartObj>
    </w:sdtPr>
    <w:sdtEndPr>
      <w:rPr>
        <w:rFonts w:ascii="Times New Roman" w:hAnsi="Times New Roman" w:cs="Times New Roman"/>
        <w:sz w:val="28"/>
        <w:szCs w:val="28"/>
      </w:rPr>
    </w:sdtEndPr>
    <w:sdtContent>
      <w:p>
        <w:pPr>
          <w:pStyle w:val="8"/>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p>
    </w:sdtContent>
  </w:sdt>
  <w:p>
    <w:pPr>
      <w:pStyle w:val="8"/>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D15EEF"/>
    <w:rsid w:val="5E312E7E"/>
    <w:rsid w:val="6FA80E5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after="120" w:line="240" w:lineRule="auto"/>
      <w:ind w:firstLine="0" w:firstLineChars="0"/>
      <w:jc w:val="both"/>
    </w:pPr>
    <w:rPr>
      <w:rFonts w:ascii="Times New Roman" w:hAnsi="Times New Roman" w:eastAsia="宋体" w:cs="Times New Roman"/>
      <w:kern w:val="0"/>
      <w:sz w:val="32"/>
      <w:szCs w:val="32"/>
    </w:rPr>
  </w:style>
  <w:style w:type="paragraph" w:styleId="6">
    <w:name w:val="toc 3"/>
    <w:basedOn w:val="1"/>
    <w:next w:val="1"/>
    <w:unhideWhenUsed/>
    <w:qFormat/>
    <w:uiPriority w:val="39"/>
    <w:pPr>
      <w:widowControl/>
      <w:tabs>
        <w:tab w:val="right" w:leader="dot" w:pos="8302"/>
      </w:tabs>
      <w:spacing w:after="100" w:line="259" w:lineRule="auto"/>
      <w:ind w:left="284" w:firstLine="0" w:firstLineChars="0"/>
    </w:pPr>
    <w:rPr>
      <w:rFonts w:ascii="仿宋_GB2312" w:eastAsia="仿宋_GB2312" w:cs="Times New Roman"/>
      <w:spacing w:val="-20"/>
      <w:sz w:val="32"/>
      <w:szCs w:val="32"/>
    </w:rPr>
  </w:style>
  <w:style w:type="paragraph" w:styleId="7">
    <w:name w:val="Balloon Text"/>
    <w:basedOn w:val="1"/>
    <w:link w:val="44"/>
    <w:semiHidden/>
    <w:unhideWhenUsed/>
    <w:qFormat/>
    <w:uiPriority w:val="99"/>
    <w:pPr>
      <w:spacing w:line="240" w:lineRule="auto"/>
    </w:pPr>
    <w:rPr>
      <w:sz w:val="18"/>
      <w:szCs w:val="18"/>
    </w:rPr>
  </w:style>
  <w:style w:type="paragraph" w:styleId="8">
    <w:name w:val="footer"/>
    <w:basedOn w:val="1"/>
    <w:link w:val="23"/>
    <w:unhideWhenUsed/>
    <w:qFormat/>
    <w:uiPriority w:val="99"/>
    <w:pPr>
      <w:tabs>
        <w:tab w:val="center" w:pos="4153"/>
        <w:tab w:val="right" w:pos="8306"/>
      </w:tabs>
      <w:snapToGrid w:val="0"/>
      <w:spacing w:line="240" w:lineRule="auto"/>
      <w:ind w:firstLine="0" w:firstLineChars="0"/>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10">
    <w:name w:val="toc 1"/>
    <w:basedOn w:val="1"/>
    <w:next w:val="1"/>
    <w:unhideWhenUsed/>
    <w:qFormat/>
    <w:uiPriority w:val="39"/>
    <w:pPr>
      <w:widowControl/>
      <w:spacing w:after="100" w:line="259" w:lineRule="auto"/>
      <w:ind w:firstLine="0" w:firstLineChars="0"/>
    </w:pPr>
    <w:rPr>
      <w:rFonts w:cs="Times New Roman"/>
      <w:kern w:val="0"/>
      <w:sz w:val="22"/>
      <w:szCs w:val="22"/>
    </w:rPr>
  </w:style>
  <w:style w:type="paragraph" w:styleId="11">
    <w:name w:val="toc 2"/>
    <w:basedOn w:val="1"/>
    <w:next w:val="1"/>
    <w:unhideWhenUsed/>
    <w:qFormat/>
    <w:uiPriority w:val="39"/>
    <w:pPr>
      <w:widowControl/>
      <w:tabs>
        <w:tab w:val="right" w:leader="dot" w:pos="8302"/>
      </w:tabs>
      <w:spacing w:after="100" w:line="259" w:lineRule="auto"/>
      <w:ind w:firstLine="0" w:firstLineChars="0"/>
    </w:pPr>
    <w:rPr>
      <w:rFonts w:ascii="仿宋_GB2312" w:eastAsia="仿宋_GB2312" w:cs="Times New Roman"/>
      <w:b/>
      <w:kern w:val="0"/>
      <w:sz w:val="32"/>
      <w:szCs w:val="32"/>
    </w:rPr>
  </w:style>
  <w:style w:type="table" w:styleId="13">
    <w:name w:val="Table Grid"/>
    <w:basedOn w:val="12"/>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paragraph" w:customStyle="1" w:styleId="17">
    <w:name w:val="Comment Text"/>
    <w:basedOn w:val="1"/>
    <w:link w:val="42"/>
    <w:unhideWhenUsed/>
    <w:qFormat/>
    <w:uiPriority w:val="0"/>
  </w:style>
  <w:style w:type="paragraph" w:customStyle="1" w:styleId="18">
    <w:name w:val="Comment Subject"/>
    <w:basedOn w:val="17"/>
    <w:next w:val="17"/>
    <w:link w:val="43"/>
    <w:semiHidden/>
    <w:unhideWhenUsed/>
    <w:qFormat/>
    <w:uiPriority w:val="99"/>
    <w:rPr>
      <w:b/>
      <w:bCs/>
    </w:rPr>
  </w:style>
  <w:style w:type="character" w:customStyle="1" w:styleId="19">
    <w:name w:val="Comment Reference"/>
    <w:basedOn w:val="14"/>
    <w:semiHidden/>
    <w:unhideWhenUsed/>
    <w:qFormat/>
    <w:uiPriority w:val="99"/>
    <w:rPr>
      <w:sz w:val="21"/>
      <w:szCs w:val="21"/>
    </w:rPr>
  </w:style>
  <w:style w:type="paragraph" w:customStyle="1" w:styleId="20">
    <w:name w:val="绩效正文"/>
    <w:basedOn w:val="1"/>
    <w:link w:val="21"/>
    <w:qFormat/>
    <w:uiPriority w:val="0"/>
    <w:pPr>
      <w:spacing w:line="480" w:lineRule="exact"/>
      <w:textAlignment w:val="baseline"/>
    </w:pPr>
    <w:rPr>
      <w:rFonts w:ascii="Times New Roman" w:hAnsi="Times New Roman" w:eastAsia="仿宋_GB2312" w:cs="Times New Roman"/>
      <w:sz w:val="32"/>
      <w:szCs w:val="24"/>
    </w:rPr>
  </w:style>
  <w:style w:type="character" w:customStyle="1" w:styleId="21">
    <w:name w:val="绩效正文 字符"/>
    <w:basedOn w:val="14"/>
    <w:link w:val="20"/>
    <w:qFormat/>
    <w:uiPriority w:val="0"/>
    <w:rPr>
      <w:rFonts w:ascii="Times New Roman" w:hAnsi="Times New Roman" w:eastAsia="仿宋_GB2312" w:cs="Times New Roman"/>
      <w:sz w:val="32"/>
      <w:szCs w:val="24"/>
    </w:rPr>
  </w:style>
  <w:style w:type="character" w:customStyle="1" w:styleId="22">
    <w:name w:val="页眉 字符"/>
    <w:basedOn w:val="14"/>
    <w:link w:val="9"/>
    <w:qFormat/>
    <w:uiPriority w:val="99"/>
    <w:rPr>
      <w:sz w:val="18"/>
      <w:szCs w:val="18"/>
    </w:rPr>
  </w:style>
  <w:style w:type="character" w:customStyle="1" w:styleId="23">
    <w:name w:val="页脚 字符"/>
    <w:basedOn w:val="14"/>
    <w:link w:val="8"/>
    <w:qFormat/>
    <w:uiPriority w:val="99"/>
    <w:rPr>
      <w:sz w:val="18"/>
      <w:szCs w:val="18"/>
    </w:rPr>
  </w:style>
  <w:style w:type="character" w:customStyle="1" w:styleId="24">
    <w:name w:val="正文文本 字符"/>
    <w:basedOn w:val="14"/>
    <w:link w:val="5"/>
    <w:qFormat/>
    <w:uiPriority w:val="99"/>
    <w:rPr>
      <w:rFonts w:ascii="Times New Roman" w:hAnsi="Times New Roman" w:eastAsia="宋体" w:cs="Times New Roman"/>
      <w:kern w:val="0"/>
      <w:sz w:val="32"/>
      <w:szCs w:val="32"/>
    </w:rPr>
  </w:style>
  <w:style w:type="paragraph" w:customStyle="1" w:styleId="25">
    <w:name w:val="市局绩效-标题"/>
    <w:basedOn w:val="2"/>
    <w:link w:val="27"/>
    <w:qFormat/>
    <w:uiPriority w:val="0"/>
    <w:pPr>
      <w:spacing w:line="600" w:lineRule="exact"/>
      <w:ind w:firstLine="0" w:firstLineChars="0"/>
      <w:jc w:val="center"/>
    </w:pPr>
    <w:rPr>
      <w:rFonts w:ascii="方正小标宋简体" w:hAnsi="方正小标宋简体" w:eastAsia="方正小标宋简体"/>
      <w:b w:val="0"/>
    </w:rPr>
  </w:style>
  <w:style w:type="paragraph" w:customStyle="1" w:styleId="26">
    <w:name w:val="市局绩效-正文"/>
    <w:basedOn w:val="1"/>
    <w:link w:val="30"/>
    <w:qFormat/>
    <w:uiPriority w:val="0"/>
    <w:pPr>
      <w:spacing w:line="600" w:lineRule="exact"/>
      <w:jc w:val="both"/>
    </w:pPr>
    <w:rPr>
      <w:rFonts w:ascii="Times New Roman" w:hAnsi="Times New Roman" w:eastAsia="仿宋_GB2312"/>
      <w:sz w:val="32"/>
    </w:rPr>
  </w:style>
  <w:style w:type="character" w:customStyle="1" w:styleId="27">
    <w:name w:val="市局绩效-标题 字符"/>
    <w:basedOn w:val="28"/>
    <w:link w:val="25"/>
    <w:qFormat/>
    <w:uiPriority w:val="0"/>
    <w:rPr>
      <w:rFonts w:ascii="方正小标宋简体" w:hAnsi="方正小标宋简体" w:eastAsia="方正小标宋简体"/>
      <w:b w:val="0"/>
      <w:kern w:val="44"/>
      <w:sz w:val="44"/>
      <w:szCs w:val="44"/>
    </w:rPr>
  </w:style>
  <w:style w:type="character" w:customStyle="1" w:styleId="28">
    <w:name w:val="标题 1 字符"/>
    <w:basedOn w:val="14"/>
    <w:link w:val="2"/>
    <w:qFormat/>
    <w:uiPriority w:val="9"/>
    <w:rPr>
      <w:b/>
      <w:bCs/>
      <w:kern w:val="44"/>
      <w:sz w:val="44"/>
      <w:szCs w:val="44"/>
    </w:rPr>
  </w:style>
  <w:style w:type="paragraph" w:customStyle="1" w:styleId="29">
    <w:name w:val="市局绩效-一级标题"/>
    <w:basedOn w:val="3"/>
    <w:link w:val="32"/>
    <w:qFormat/>
    <w:uiPriority w:val="0"/>
    <w:pPr>
      <w:spacing w:line="600" w:lineRule="exact"/>
      <w:ind w:firstLine="641" w:firstLineChars="0"/>
      <w:jc w:val="both"/>
    </w:pPr>
    <w:rPr>
      <w:rFonts w:ascii="Times New Roman" w:hAnsi="Times New Roman" w:eastAsia="黑体"/>
      <w:b w:val="0"/>
    </w:rPr>
  </w:style>
  <w:style w:type="character" w:customStyle="1" w:styleId="30">
    <w:name w:val="市局绩效-正文 字符"/>
    <w:basedOn w:val="14"/>
    <w:link w:val="26"/>
    <w:qFormat/>
    <w:uiPriority w:val="0"/>
    <w:rPr>
      <w:rFonts w:ascii="Times New Roman" w:hAnsi="Times New Roman" w:eastAsia="仿宋_GB2312"/>
      <w:sz w:val="32"/>
      <w:szCs w:val="21"/>
    </w:rPr>
  </w:style>
  <w:style w:type="paragraph" w:customStyle="1" w:styleId="31">
    <w:name w:val="市局绩效-二级标题"/>
    <w:basedOn w:val="4"/>
    <w:link w:val="34"/>
    <w:qFormat/>
    <w:uiPriority w:val="0"/>
    <w:pPr>
      <w:spacing w:line="600" w:lineRule="exact"/>
      <w:jc w:val="both"/>
    </w:pPr>
    <w:rPr>
      <w:rFonts w:eastAsia="楷体_GB2312"/>
      <w:b w:val="0"/>
    </w:rPr>
  </w:style>
  <w:style w:type="character" w:customStyle="1" w:styleId="32">
    <w:name w:val="市局绩效-一级标题 字符"/>
    <w:basedOn w:val="33"/>
    <w:link w:val="29"/>
    <w:qFormat/>
    <w:uiPriority w:val="0"/>
    <w:rPr>
      <w:rFonts w:ascii="Times New Roman" w:hAnsi="Times New Roman" w:eastAsia="黑体" w:cstheme="majorBidi"/>
      <w:b w:val="0"/>
      <w:sz w:val="32"/>
      <w:szCs w:val="32"/>
    </w:rPr>
  </w:style>
  <w:style w:type="character" w:customStyle="1" w:styleId="33">
    <w:name w:val="标题 2 字符"/>
    <w:basedOn w:val="14"/>
    <w:link w:val="3"/>
    <w:semiHidden/>
    <w:qFormat/>
    <w:uiPriority w:val="9"/>
    <w:rPr>
      <w:rFonts w:asciiTheme="majorHAnsi" w:hAnsiTheme="majorHAnsi" w:eastAsiaTheme="majorEastAsia" w:cstheme="majorBidi"/>
      <w:b/>
      <w:bCs/>
      <w:sz w:val="32"/>
      <w:szCs w:val="32"/>
    </w:rPr>
  </w:style>
  <w:style w:type="character" w:customStyle="1" w:styleId="34">
    <w:name w:val="市局绩效-二级标题 字符"/>
    <w:basedOn w:val="35"/>
    <w:link w:val="31"/>
    <w:qFormat/>
    <w:uiPriority w:val="0"/>
    <w:rPr>
      <w:rFonts w:eastAsia="楷体_GB2312"/>
      <w:b w:val="0"/>
      <w:sz w:val="32"/>
      <w:szCs w:val="32"/>
    </w:rPr>
  </w:style>
  <w:style w:type="character" w:customStyle="1" w:styleId="35">
    <w:name w:val="标题 3 字符"/>
    <w:basedOn w:val="14"/>
    <w:link w:val="4"/>
    <w:semiHidden/>
    <w:qFormat/>
    <w:uiPriority w:val="9"/>
    <w:rPr>
      <w:b/>
      <w:bCs/>
      <w:sz w:val="32"/>
      <w:szCs w:val="32"/>
    </w:rPr>
  </w:style>
  <w:style w:type="character" w:customStyle="1" w:styleId="36">
    <w:name w:val="市局绩效-表格标题 字符"/>
    <w:basedOn w:val="14"/>
    <w:link w:val="37"/>
    <w:qFormat/>
    <w:locked/>
    <w:uiPriority w:val="0"/>
    <w:rPr>
      <w:rFonts w:ascii="Times New Roman" w:hAnsi="Times New Roman" w:eastAsia="宋体" w:cs="Times New Roman"/>
      <w:bCs/>
      <w:sz w:val="24"/>
      <w:szCs w:val="24"/>
    </w:rPr>
  </w:style>
  <w:style w:type="paragraph" w:customStyle="1" w:styleId="37">
    <w:name w:val="市局绩效-表格标题"/>
    <w:basedOn w:val="1"/>
    <w:link w:val="36"/>
    <w:qFormat/>
    <w:uiPriority w:val="0"/>
    <w:pPr>
      <w:widowControl/>
      <w:spacing w:line="240" w:lineRule="auto"/>
      <w:ind w:firstLine="0" w:firstLineChars="0"/>
      <w:jc w:val="center"/>
    </w:pPr>
    <w:rPr>
      <w:rFonts w:ascii="Times New Roman" w:hAnsi="Times New Roman" w:eastAsia="宋体" w:cs="Times New Roman"/>
      <w:bCs/>
      <w:sz w:val="24"/>
      <w:szCs w:val="24"/>
    </w:rPr>
  </w:style>
  <w:style w:type="character" w:customStyle="1" w:styleId="38">
    <w:name w:val="市局绩效-表格内容 字符"/>
    <w:basedOn w:val="30"/>
    <w:link w:val="39"/>
    <w:qFormat/>
    <w:locked/>
    <w:uiPriority w:val="0"/>
    <w:rPr>
      <w:rFonts w:ascii="Times New Roman" w:hAnsi="Times New Roman" w:eastAsia="宋体" w:cs="Times New Roman"/>
      <w:sz w:val="32"/>
      <w:szCs w:val="21"/>
    </w:rPr>
  </w:style>
  <w:style w:type="paragraph" w:customStyle="1" w:styleId="39">
    <w:name w:val="市局绩效-表格内容"/>
    <w:basedOn w:val="26"/>
    <w:link w:val="38"/>
    <w:qFormat/>
    <w:uiPriority w:val="0"/>
    <w:pPr>
      <w:spacing w:line="240" w:lineRule="auto"/>
      <w:ind w:firstLine="0" w:firstLineChars="0"/>
    </w:pPr>
    <w:rPr>
      <w:rFonts w:eastAsia="宋体" w:cs="Times New Roman"/>
    </w:rPr>
  </w:style>
  <w:style w:type="paragraph" w:customStyle="1" w:styleId="40">
    <w:name w:val="市局绩效-表格表头"/>
    <w:basedOn w:val="26"/>
    <w:link w:val="41"/>
    <w:qFormat/>
    <w:uiPriority w:val="0"/>
    <w:pPr>
      <w:spacing w:line="240" w:lineRule="auto"/>
      <w:ind w:firstLine="0" w:firstLineChars="0"/>
      <w:jc w:val="center"/>
    </w:pPr>
    <w:rPr>
      <w:rFonts w:eastAsia="宋体"/>
      <w:b/>
    </w:rPr>
  </w:style>
  <w:style w:type="character" w:customStyle="1" w:styleId="41">
    <w:name w:val="市局绩效-表格表头 字符"/>
    <w:basedOn w:val="30"/>
    <w:link w:val="40"/>
    <w:qFormat/>
    <w:uiPriority w:val="0"/>
    <w:rPr>
      <w:rFonts w:ascii="Times New Roman" w:hAnsi="Times New Roman" w:eastAsia="宋体"/>
      <w:b/>
      <w:sz w:val="32"/>
      <w:szCs w:val="21"/>
    </w:rPr>
  </w:style>
  <w:style w:type="character" w:customStyle="1" w:styleId="42">
    <w:name w:val="批注文字 字符"/>
    <w:basedOn w:val="14"/>
    <w:link w:val="17"/>
    <w:qFormat/>
    <w:uiPriority w:val="0"/>
    <w:rPr>
      <w:szCs w:val="21"/>
    </w:rPr>
  </w:style>
  <w:style w:type="character" w:customStyle="1" w:styleId="43">
    <w:name w:val="批注主题 字符"/>
    <w:basedOn w:val="42"/>
    <w:link w:val="18"/>
    <w:semiHidden/>
    <w:qFormat/>
    <w:uiPriority w:val="99"/>
    <w:rPr>
      <w:b/>
      <w:bCs/>
      <w:szCs w:val="21"/>
    </w:rPr>
  </w:style>
  <w:style w:type="character" w:customStyle="1" w:styleId="44">
    <w:name w:val="批注框文本 字符"/>
    <w:basedOn w:val="14"/>
    <w:link w:val="7"/>
    <w:semiHidden/>
    <w:qFormat/>
    <w:uiPriority w:val="99"/>
    <w:rPr>
      <w:sz w:val="18"/>
      <w:szCs w:val="18"/>
    </w:rPr>
  </w:style>
  <w:style w:type="paragraph" w:customStyle="1" w:styleId="45">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46">
    <w:name w:val="TOC Heading"/>
    <w:basedOn w:val="2"/>
    <w:next w:val="1"/>
    <w:unhideWhenUsed/>
    <w:qFormat/>
    <w:uiPriority w:val="39"/>
    <w:pPr>
      <w:widowControl/>
      <w:spacing w:before="240" w:after="0" w:line="259" w:lineRule="auto"/>
      <w:ind w:firstLine="0" w:firstLineChars="0"/>
      <w:outlineLvl w:val="9"/>
    </w:pPr>
    <w:rPr>
      <w:rFonts w:asciiTheme="majorHAnsi" w:hAnsiTheme="majorHAnsi" w:eastAsiaTheme="majorEastAsia" w:cstheme="majorBidi"/>
      <w:b w:val="0"/>
      <w:bCs w:val="0"/>
      <w:color w:val="2E75B6" w:themeColor="accent1" w:themeShade="BF"/>
      <w:kern w:val="0"/>
      <w:sz w:val="32"/>
      <w:szCs w:val="32"/>
    </w:rPr>
  </w:style>
  <w:style w:type="table" w:customStyle="1" w:styleId="47">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48">
    <w:name w:val="Table Text"/>
    <w:basedOn w:val="1"/>
    <w:semiHidden/>
    <w:qFormat/>
    <w:uiPriority w:val="0"/>
    <w:pPr>
      <w:widowControl/>
      <w:kinsoku w:val="0"/>
      <w:autoSpaceDE w:val="0"/>
      <w:autoSpaceDN w:val="0"/>
      <w:adjustRightInd w:val="0"/>
      <w:snapToGrid w:val="0"/>
      <w:spacing w:line="240" w:lineRule="auto"/>
      <w:ind w:firstLine="0" w:firstLineChars="0"/>
      <w:textAlignment w:val="baseline"/>
    </w:pPr>
    <w:rPr>
      <w:rFonts w:ascii="仿宋" w:hAnsi="仿宋" w:eastAsia="仿宋" w:cs="仿宋"/>
      <w:snapToGrid w:val="0"/>
      <w:color w:val="000000"/>
      <w:kern w:val="0"/>
      <w:sz w:val="18"/>
      <w:szCs w:val="18"/>
      <w:lang w:eastAsia="en-US"/>
    </w:rPr>
  </w:style>
  <w:style w:type="paragraph" w:customStyle="1" w:styleId="49">
    <w:name w:val="四级标题"/>
    <w:basedOn w:val="1"/>
    <w:next w:val="1"/>
    <w:link w:val="50"/>
    <w:qFormat/>
    <w:uiPriority w:val="0"/>
    <w:pPr>
      <w:widowControl/>
      <w:autoSpaceDE w:val="0"/>
      <w:autoSpaceDN w:val="0"/>
      <w:adjustRightInd w:val="0"/>
      <w:spacing w:line="240" w:lineRule="auto"/>
      <w:ind w:firstLine="0" w:firstLineChars="0"/>
      <w:outlineLvl w:val="3"/>
    </w:pPr>
    <w:rPr>
      <w:rFonts w:ascii="新宋体" w:hAnsi="新宋体" w:eastAsia="新宋体" w:cs="仿宋_GB2312"/>
      <w:kern w:val="0"/>
      <w:sz w:val="24"/>
      <w:szCs w:val="24"/>
      <w:lang w:val="en-GB"/>
    </w:rPr>
  </w:style>
  <w:style w:type="character" w:customStyle="1" w:styleId="50">
    <w:name w:val="四级标题 字符"/>
    <w:basedOn w:val="14"/>
    <w:link w:val="49"/>
    <w:qFormat/>
    <w:uiPriority w:val="0"/>
    <w:rPr>
      <w:rFonts w:ascii="新宋体" w:hAnsi="新宋体" w:eastAsia="新宋体" w:cs="仿宋_GB2312"/>
      <w:kern w:val="0"/>
      <w:sz w:val="24"/>
      <w:szCs w:val="24"/>
      <w:lang w:val="en-GB"/>
    </w:rPr>
  </w:style>
  <w:style w:type="table" w:customStyle="1" w:styleId="51">
    <w:name w:val="网格型1"/>
    <w:basedOn w:val="12"/>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
    <w:name w:val="滨海正文"/>
    <w:basedOn w:val="1"/>
    <w:link w:val="53"/>
    <w:qFormat/>
    <w:uiPriority w:val="0"/>
    <w:pPr>
      <w:spacing w:line="600" w:lineRule="exact"/>
      <w:ind w:firstLine="640"/>
      <w:jc w:val="both"/>
    </w:pPr>
    <w:rPr>
      <w:rFonts w:ascii="Times New Roman" w:hAnsi="Times New Roman" w:eastAsia="仿宋_GB2312" w:cs="Times New Roman"/>
      <w:sz w:val="32"/>
      <w:szCs w:val="32"/>
    </w:rPr>
  </w:style>
  <w:style w:type="character" w:customStyle="1" w:styleId="53">
    <w:name w:val="滨海正文 字符"/>
    <w:basedOn w:val="14"/>
    <w:link w:val="52"/>
    <w:qFormat/>
    <w:uiPriority w:val="0"/>
    <w:rPr>
      <w:rFonts w:ascii="Times New Roman" w:hAnsi="Times New Roman" w:eastAsia="仿宋_GB2312" w:cs="Times New Roman"/>
      <w:sz w:val="32"/>
      <w:szCs w:val="32"/>
    </w:rPr>
  </w:style>
  <w:style w:type="character" w:customStyle="1" w:styleId="54">
    <w:name w:val="font41"/>
    <w:basedOn w:val="14"/>
    <w:qFormat/>
    <w:uiPriority w:val="0"/>
    <w:rPr>
      <w:rFonts w:hint="default" w:ascii="Times New Roman" w:hAnsi="Times New Roman" w:cs="Times New Roman"/>
      <w:color w:val="000000"/>
      <w:sz w:val="20"/>
      <w:szCs w:val="20"/>
      <w:u w:val="none"/>
    </w:rPr>
  </w:style>
  <w:style w:type="character" w:customStyle="1" w:styleId="55">
    <w:name w:val="font61"/>
    <w:basedOn w:val="14"/>
    <w:qFormat/>
    <w:uiPriority w:val="0"/>
    <w:rPr>
      <w:rFonts w:hint="eastAsia" w:ascii="仿宋_GB2312" w:eastAsia="仿宋_GB2312" w:cs="仿宋_GB2312"/>
      <w:color w:val="000000"/>
      <w:sz w:val="20"/>
      <w:szCs w:val="20"/>
      <w:u w:val="none"/>
    </w:rPr>
  </w:style>
  <w:style w:type="character" w:customStyle="1" w:styleId="56">
    <w:name w:val="font31"/>
    <w:basedOn w:val="14"/>
    <w:qFormat/>
    <w:uiPriority w:val="0"/>
    <w:rPr>
      <w:rFonts w:hint="default" w:ascii="Times New Roman" w:hAnsi="Times New Roman" w:cs="Times New Roman"/>
      <w:color w:val="000000"/>
      <w:sz w:val="20"/>
      <w:szCs w:val="20"/>
      <w:u w:val="none"/>
    </w:rPr>
  </w:style>
  <w:style w:type="character" w:customStyle="1" w:styleId="57">
    <w:name w:val="font21"/>
    <w:basedOn w:val="14"/>
    <w:qFormat/>
    <w:uiPriority w:val="0"/>
    <w:rPr>
      <w:rFonts w:hint="eastAsia" w:ascii="仿宋_GB2312" w:eastAsia="仿宋_GB2312" w:cs="仿宋_GB2312"/>
      <w:color w:val="000000"/>
      <w:sz w:val="20"/>
      <w:szCs w:val="20"/>
      <w:u w:val="none"/>
    </w:rPr>
  </w:style>
  <w:style w:type="character" w:customStyle="1" w:styleId="58">
    <w:name w:val="font1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4.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 LYZz</dc:creator>
  <cp:lastModifiedBy>Administrator</cp:lastModifiedBy>
  <cp:lastPrinted>2024-08-16T09:14:00Z</cp:lastPrinted>
  <dcterms:modified xsi:type="dcterms:W3CDTF">2025-11-13T12:11:21Z</dcterms:modified>
  <cp:revision>13</cp:revision>
</cp:coreProperties>
</file>

<file path=customXml/item2.xml><?xml version="1.0" encoding="utf-8"?>
<Properties xmlns="http://schemas.openxmlformats.org/officeDocument/2006/extended-properties" xmlns:vt="http://schemas.openxmlformats.org/officeDocument/2006/docPropsVTypes">
  <Template>Normal.dotm</Template>
  <Pages>52</Pages>
  <Words>4148</Words>
  <Characters>4383</Characters>
  <Lines>189</Lines>
  <Paragraphs>53</Paragraphs>
  <TotalTime>0</TotalTime>
  <ScaleCrop>false</ScaleCrop>
  <LinksUpToDate>false</LinksUpToDate>
  <CharactersWithSpaces>4597</CharactersWithSpaces>
  <Application>WPS Office_11.8.2.8621_F1E327BC-269C-435d-A152-05C5408002CA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eyJoZGlkIjoiN2YzNjBkOTgyNWQ1YTMxYzM3MzMwNWFiODNmOWIzYWMiLCJ1c2VySWQiOiI3NTc1MDIxMjYifQ==</vt:lpwstr>
  </property>
  <property fmtid="{D5CDD505-2E9C-101B-9397-08002B2CF9AE}" pid="3" name="KSOProductBuildVer">
    <vt:lpwstr>2052-11.8.2.8621</vt:lpwstr>
  </property>
  <property fmtid="{D5CDD505-2E9C-101B-9397-08002B2CF9AE}" pid="4" name="ICV">
    <vt:lpwstr>4F39DE3DB704413CBFF906AFE02BC5BB_12</vt:lpwstr>
  </property>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bf4f2-1fd5-4caa-b914-dd49a2c2cd49}">
  <ds:schemaRefs/>
</ds:datastoreItem>
</file>

<file path=customXml/itemProps2.xml><?xml version="1.0" encoding="utf-8"?>
<ds:datastoreItem xmlns:ds="http://schemas.openxmlformats.org/officeDocument/2006/customXml" ds:itemID="{053b41f1-716f-47ac-9ea3-d57c54013415}">
  <ds:schemaRefs/>
</ds:datastoreItem>
</file>

<file path=customXml/itemProps3.xml><?xml version="1.0" encoding="utf-8"?>
<ds:datastoreItem xmlns:ds="http://schemas.openxmlformats.org/officeDocument/2006/customXml" ds:itemID="{5a66a040-8aee-4b58-967f-52e8da935dc2}">
  <ds:schemaRefs/>
</ds:datastoreItem>
</file>

<file path=customXml/itemProps4.xml><?xml version="1.0" encoding="utf-8"?>
<ds:datastoreItem xmlns:ds="http://schemas.openxmlformats.org/officeDocument/2006/customXml" ds:itemID="{930EF3B8-599A-449F-AA8C-8BDF1BF8A983}">
  <ds:schemaRefs/>
</ds:datastoreItem>
</file>

<file path=docProps/app.xml><?xml version="1.0" encoding="utf-8"?>
<Properties xmlns="http://schemas.openxmlformats.org/officeDocument/2006/extended-properties" xmlns:vt="http://schemas.openxmlformats.org/officeDocument/2006/docPropsVTypes">
  <Template>Normal.dotm</Template>
  <Pages>50</Pages>
  <Words>4166</Words>
  <Characters>4393</Characters>
  <Lines>189</Lines>
  <Paragraphs>53</Paragraphs>
  <TotalTime>10</TotalTime>
  <ScaleCrop>false</ScaleCrop>
  <LinksUpToDate>false</LinksUpToDate>
  <CharactersWithSpaces>4621</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 LYZz</dc:creator>
  <cp:lastModifiedBy>Administrator</cp:lastModifiedBy>
  <cp:lastPrinted>2024-08-16T09:14:00Z</cp:lastPrinted>
  <dcterms:modified xsi:type="dcterms:W3CDTF">2025-11-14T09:48:36Z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eyJoZGlkIjoiN2YzNjBkOTgyNWQ1YTMxYzM3MzMwNWFiODNmOWIzYWMiLCJ1c2VySWQiOiI3NTc1MDIxMjYifQ==</vt:lpwstr>
  </property>
  <property fmtid="{D5CDD505-2E9C-101B-9397-08002B2CF9AE}" pid="3" name="KSOProductBuildVer">
    <vt:lpwstr>2052-11.8.2.12251</vt:lpwstr>
  </property>
  <property fmtid="{D5CDD505-2E9C-101B-9397-08002B2CF9AE}" pid="4" name="ICV">
    <vt:lpwstr>4F39DE3DB704413CBFF906AFE02BC5BB_12</vt:lpwstr>
  </property>
</Properties>
</file>